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cs="仿宋"/>
          <w:sz w:val="28"/>
          <w:szCs w:val="28"/>
        </w:rPr>
      </w:pP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福建省女子监狱</w:t>
      </w:r>
    </w:p>
    <w:p>
      <w:pPr>
        <w:spacing w:line="360" w:lineRule="auto"/>
        <w:jc w:val="center"/>
        <w:rPr>
          <w:rFonts w:ascii="宋体" w:hAnsi="宋体"/>
          <w:b/>
          <w:sz w:val="72"/>
          <w:szCs w:val="72"/>
        </w:rPr>
      </w:pPr>
      <w:r>
        <w:rPr>
          <w:rFonts w:hint="eastAsia" w:ascii="宋体" w:hAnsi="宋体"/>
          <w:b/>
          <w:sz w:val="72"/>
          <w:szCs w:val="72"/>
        </w:rPr>
        <w:t>网上竞价文件</w:t>
      </w:r>
    </w:p>
    <w:p>
      <w:pPr>
        <w:pStyle w:val="11"/>
        <w:spacing w:line="0" w:lineRule="atLeast"/>
        <w:rPr>
          <w:rFonts w:hAnsi="宋体"/>
          <w:b/>
          <w:sz w:val="32"/>
        </w:rPr>
      </w:pPr>
    </w:p>
    <w:p>
      <w:pPr>
        <w:pStyle w:val="11"/>
        <w:spacing w:line="0" w:lineRule="atLeast"/>
        <w:jc w:val="center"/>
        <w:rPr>
          <w:rFonts w:hAnsi="宋体"/>
          <w:b/>
          <w:sz w:val="36"/>
        </w:rPr>
      </w:pPr>
    </w:p>
    <w:p>
      <w:pPr>
        <w:pStyle w:val="11"/>
        <w:spacing w:line="0" w:lineRule="atLeast"/>
        <w:jc w:val="center"/>
        <w:rPr>
          <w:rFonts w:hAnsi="宋体"/>
          <w:b/>
          <w:sz w:val="36"/>
        </w:rPr>
      </w:pPr>
    </w:p>
    <w:p>
      <w:pPr>
        <w:pStyle w:val="11"/>
        <w:spacing w:line="0" w:lineRule="atLeast"/>
        <w:jc w:val="center"/>
        <w:rPr>
          <w:rFonts w:hAnsi="宋体"/>
          <w:b/>
          <w:sz w:val="36"/>
        </w:rPr>
      </w:pPr>
    </w:p>
    <w:p>
      <w:pPr>
        <w:pStyle w:val="11"/>
        <w:spacing w:line="400" w:lineRule="exact"/>
        <w:rPr>
          <w:rFonts w:hAnsi="宋体"/>
          <w:b/>
          <w:sz w:val="36"/>
        </w:rPr>
      </w:pPr>
    </w:p>
    <w:p>
      <w:pPr>
        <w:pStyle w:val="11"/>
        <w:spacing w:line="640" w:lineRule="exact"/>
        <w:ind w:firstLine="1285" w:firstLineChars="400"/>
        <w:rPr>
          <w:rFonts w:hAnsi="宋体"/>
          <w:b/>
          <w:sz w:val="32"/>
          <w:szCs w:val="32"/>
        </w:rPr>
      </w:pPr>
      <w:r>
        <w:rPr>
          <w:rFonts w:hint="eastAsia" w:hAnsi="宋体"/>
          <w:b/>
          <w:sz w:val="32"/>
          <w:szCs w:val="32"/>
        </w:rPr>
        <w:t>项目编号：FJKZB-606012024</w:t>
      </w:r>
    </w:p>
    <w:p>
      <w:pPr>
        <w:pStyle w:val="11"/>
        <w:spacing w:line="640" w:lineRule="exact"/>
        <w:ind w:firstLine="1285" w:firstLineChars="400"/>
        <w:rPr>
          <w:rFonts w:hAnsi="宋体"/>
          <w:b/>
          <w:sz w:val="32"/>
          <w:szCs w:val="32"/>
          <w:u w:val="single"/>
        </w:rPr>
      </w:pPr>
      <w:r>
        <w:rPr>
          <w:rFonts w:hint="eastAsia" w:hAnsi="宋体"/>
          <w:b/>
          <w:sz w:val="32"/>
          <w:szCs w:val="32"/>
        </w:rPr>
        <w:t>项目名称：和韵合唱团音响设备采购项目</w:t>
      </w:r>
    </w:p>
    <w:p>
      <w:pPr>
        <w:pStyle w:val="11"/>
        <w:spacing w:line="640" w:lineRule="exact"/>
        <w:ind w:firstLine="1285" w:firstLineChars="400"/>
        <w:rPr>
          <w:rFonts w:hAnsi="宋体"/>
          <w:b/>
          <w:sz w:val="32"/>
          <w:szCs w:val="32"/>
        </w:rPr>
      </w:pPr>
      <w:r>
        <w:rPr>
          <w:rFonts w:hint="eastAsia" w:hAnsi="宋体"/>
          <w:b/>
          <w:sz w:val="32"/>
          <w:szCs w:val="32"/>
        </w:rPr>
        <w:t xml:space="preserve">采购人：福建省女子监狱  </w:t>
      </w:r>
    </w:p>
    <w:p>
      <w:pPr>
        <w:spacing w:line="500" w:lineRule="exact"/>
        <w:rPr>
          <w:rFonts w:ascii="宋体" w:hAnsi="宋体"/>
          <w:b/>
          <w:sz w:val="48"/>
        </w:rPr>
      </w:pPr>
    </w:p>
    <w:p>
      <w:pPr>
        <w:pStyle w:val="5"/>
        <w:rPr>
          <w:sz w:val="48"/>
        </w:rPr>
      </w:pPr>
    </w:p>
    <w:p/>
    <w:p>
      <w:pPr>
        <w:spacing w:line="500" w:lineRule="exact"/>
        <w:jc w:val="center"/>
        <w:rPr>
          <w:rFonts w:ascii="宋体" w:hAnsi="宋体"/>
          <w:b/>
          <w:sz w:val="32"/>
          <w:szCs w:val="32"/>
        </w:rPr>
      </w:pPr>
      <w:r>
        <w:rPr>
          <w:rFonts w:hint="eastAsia" w:ascii="宋体" w:hAnsi="宋体"/>
          <w:b/>
          <w:sz w:val="32"/>
          <w:szCs w:val="32"/>
        </w:rPr>
        <w:t>福建省健坤招标有限公司</w:t>
      </w:r>
    </w:p>
    <w:p>
      <w:pPr>
        <w:spacing w:line="500" w:lineRule="exact"/>
        <w:jc w:val="center"/>
        <w:rPr>
          <w:rFonts w:ascii="宋体" w:hAnsi="宋体"/>
          <w:b/>
          <w:sz w:val="32"/>
          <w:szCs w:val="32"/>
        </w:rPr>
      </w:pPr>
      <w:r>
        <w:rPr>
          <w:rFonts w:hint="eastAsia" w:ascii="宋体" w:hAnsi="宋体"/>
          <w:b/>
          <w:sz w:val="32"/>
          <w:szCs w:val="32"/>
        </w:rPr>
        <w:t>二〇二四年</w:t>
      </w:r>
      <w:r>
        <w:rPr>
          <w:rFonts w:hint="eastAsia" w:ascii="宋体" w:hAnsi="宋体"/>
          <w:b/>
          <w:sz w:val="32"/>
          <w:szCs w:val="32"/>
          <w:lang w:val="en-US" w:eastAsia="zh-CN"/>
        </w:rPr>
        <w:t>二</w:t>
      </w:r>
      <w:r>
        <w:rPr>
          <w:rFonts w:hint="eastAsia" w:ascii="宋体" w:hAnsi="宋体"/>
          <w:b/>
          <w:sz w:val="32"/>
          <w:szCs w:val="32"/>
        </w:rPr>
        <w:t>月</w:t>
      </w:r>
    </w:p>
    <w:p>
      <w:pPr>
        <w:pStyle w:val="9"/>
        <w:rPr>
          <w:rFonts w:ascii="宋体" w:hAnsi="宋体"/>
        </w:rPr>
      </w:pPr>
    </w:p>
    <w:p>
      <w:pPr>
        <w:widowControl/>
        <w:jc w:val="left"/>
        <w:rPr>
          <w:rFonts w:ascii="宋体" w:hAnsi="宋体" w:cs="宋体"/>
          <w:b/>
          <w:bCs/>
          <w:kern w:val="0"/>
          <w:sz w:val="32"/>
          <w:szCs w:val="32"/>
        </w:rPr>
      </w:pPr>
      <w:r>
        <w:rPr>
          <w:rFonts w:hint="eastAsia" w:ascii="宋体" w:hAnsi="宋体" w:cs="宋体"/>
          <w:b/>
          <w:bCs/>
          <w:kern w:val="0"/>
          <w:sz w:val="32"/>
          <w:szCs w:val="32"/>
        </w:rPr>
        <w:br w:type="page"/>
      </w:r>
    </w:p>
    <w:p>
      <w:pPr>
        <w:widowControl/>
        <w:spacing w:line="360" w:lineRule="auto"/>
        <w:ind w:firstLine="643" w:firstLineChars="200"/>
        <w:jc w:val="center"/>
        <w:rPr>
          <w:rFonts w:ascii="宋体" w:hAnsi="宋体" w:cs="宋体"/>
          <w:b/>
          <w:bCs/>
          <w:kern w:val="0"/>
          <w:sz w:val="32"/>
          <w:szCs w:val="32"/>
        </w:rPr>
      </w:pPr>
      <w:r>
        <w:rPr>
          <w:rFonts w:hint="eastAsia" w:ascii="宋体" w:hAnsi="宋体" w:cs="宋体"/>
          <w:b/>
          <w:bCs/>
          <w:kern w:val="0"/>
          <w:sz w:val="32"/>
          <w:szCs w:val="32"/>
        </w:rPr>
        <w:t>第一章 网上竞价邀请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福建省健坤招标有限公司受</w:t>
      </w:r>
      <w:r>
        <w:rPr>
          <w:rFonts w:hint="eastAsia" w:ascii="宋体" w:hAnsi="宋体" w:cs="宋体"/>
          <w:kern w:val="0"/>
          <w:sz w:val="24"/>
          <w:u w:val="single"/>
        </w:rPr>
        <w:t>福建省女子监狱</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rPr>
        <w:t>和韵合唱团音响设备采购项目</w:t>
      </w:r>
      <w:r>
        <w:rPr>
          <w:rFonts w:hint="eastAsia" w:ascii="宋体" w:hAnsi="宋体" w:cs="宋体"/>
          <w:kern w:val="0"/>
          <w:sz w:val="24"/>
        </w:rPr>
        <w:t>的成交供应商。现邀请合格的供应商对</w:t>
      </w:r>
      <w:r>
        <w:rPr>
          <w:rFonts w:hint="eastAsia" w:ascii="宋体" w:hAnsi="宋体"/>
          <w:sz w:val="24"/>
        </w:rPr>
        <w:t>本项目进行网</w:t>
      </w:r>
      <w:r>
        <w:rPr>
          <w:rFonts w:hint="eastAsia" w:ascii="宋体" w:hAnsi="宋体" w:cs="宋体"/>
          <w:kern w:val="0"/>
          <w:sz w:val="24"/>
        </w:rPr>
        <w:t>上竞价。</w:t>
      </w:r>
    </w:p>
    <w:p>
      <w:pPr>
        <w:widowControl/>
        <w:spacing w:line="360" w:lineRule="auto"/>
        <w:ind w:firstLine="482" w:firstLineChars="200"/>
        <w:jc w:val="left"/>
        <w:rPr>
          <w:rFonts w:ascii="宋体" w:hAnsi="宋体"/>
          <w:b/>
          <w:bCs/>
          <w:sz w:val="24"/>
        </w:rPr>
      </w:pPr>
      <w:r>
        <w:rPr>
          <w:rFonts w:hint="eastAsia" w:ascii="宋体" w:hAnsi="宋体" w:cs="宋体"/>
          <w:b/>
          <w:bCs/>
          <w:kern w:val="0"/>
          <w:sz w:val="24"/>
        </w:rPr>
        <w:t>1.项目编号： FJKZB-606012024</w:t>
      </w:r>
    </w:p>
    <w:p>
      <w:pPr>
        <w:widowControl/>
        <w:spacing w:line="360" w:lineRule="auto"/>
        <w:ind w:firstLine="482" w:firstLineChars="200"/>
        <w:jc w:val="left"/>
        <w:rPr>
          <w:rFonts w:ascii="宋体" w:hAnsi="宋体"/>
          <w:b/>
          <w:bCs/>
          <w:sz w:val="24"/>
        </w:rPr>
      </w:pPr>
      <w:r>
        <w:rPr>
          <w:rFonts w:hint="eastAsia" w:ascii="宋体" w:hAnsi="宋体" w:cs="宋体"/>
          <w:b/>
          <w:bCs/>
          <w:kern w:val="0"/>
          <w:sz w:val="24"/>
        </w:rPr>
        <w:t>2.项目名称：和韵合唱团音响设备采购项目</w:t>
      </w:r>
    </w:p>
    <w:p>
      <w:pPr>
        <w:widowControl/>
        <w:spacing w:line="360" w:lineRule="auto"/>
        <w:ind w:firstLine="482" w:firstLineChars="200"/>
        <w:jc w:val="left"/>
        <w:rPr>
          <w:rFonts w:ascii="宋体" w:hAnsi="宋体" w:cs="宋体"/>
          <w:b/>
          <w:kern w:val="0"/>
          <w:sz w:val="24"/>
        </w:rPr>
      </w:pPr>
      <w:r>
        <w:rPr>
          <w:rFonts w:hint="eastAsia" w:ascii="宋体" w:hAnsi="宋体"/>
          <w:b/>
          <w:sz w:val="24"/>
        </w:rPr>
        <w:t>3.网上竞价货物（服务、工程）名称、数量及主要技术规格售后服务要求等详见“第二章 网上竞价内容及要求”</w:t>
      </w:r>
      <w:r>
        <w:rPr>
          <w:rFonts w:hint="eastAsia" w:ascii="宋体" w:hAnsi="宋体" w:cs="宋体"/>
          <w:b/>
          <w:kern w:val="0"/>
          <w:sz w:val="24"/>
        </w:rPr>
        <w:t>。</w:t>
      </w:r>
    </w:p>
    <w:p>
      <w:pPr>
        <w:pStyle w:val="16"/>
        <w:spacing w:before="0" w:beforeAutospacing="0" w:after="0" w:afterAutospacing="0" w:line="360" w:lineRule="auto"/>
        <w:ind w:firstLine="480"/>
        <w:rPr>
          <w:b/>
          <w:bCs/>
          <w:highlight w:val="none"/>
        </w:rPr>
      </w:pPr>
      <w:r>
        <w:rPr>
          <w:rFonts w:hint="eastAsia"/>
          <w:b/>
          <w:bCs/>
          <w:highlight w:val="none"/>
        </w:rPr>
        <w:t>4.报名及竞价时间安排：</w:t>
      </w:r>
    </w:p>
    <w:p>
      <w:pPr>
        <w:spacing w:line="360" w:lineRule="auto"/>
        <w:ind w:firstLine="480" w:firstLineChars="200"/>
        <w:rPr>
          <w:rFonts w:ascii="宋体" w:hAnsi="宋体" w:cs="宋体"/>
          <w:kern w:val="0"/>
          <w:sz w:val="24"/>
          <w:highlight w:val="none"/>
        </w:rPr>
      </w:pPr>
      <w:bookmarkStart w:id="0" w:name="_Toc21403"/>
      <w:r>
        <w:rPr>
          <w:rFonts w:hint="eastAsia" w:ascii="宋体" w:hAnsi="宋体" w:cs="宋体"/>
          <w:kern w:val="0"/>
          <w:sz w:val="24"/>
          <w:highlight w:val="none"/>
        </w:rPr>
        <w:t>报名开始时间：2024年</w:t>
      </w:r>
      <w:r>
        <w:rPr>
          <w:rFonts w:hint="eastAsia" w:ascii="宋体" w:hAnsi="宋体" w:cs="宋体"/>
          <w:kern w:val="0"/>
          <w:sz w:val="24"/>
          <w:highlight w:val="none"/>
          <w:lang w:val="en-US" w:eastAsia="zh-CN"/>
        </w:rPr>
        <w:t>02</w:t>
      </w:r>
      <w:r>
        <w:rPr>
          <w:rFonts w:hint="eastAsia" w:ascii="宋体" w:hAnsi="宋体" w:cs="宋体"/>
          <w:kern w:val="0"/>
          <w:sz w:val="24"/>
          <w:highlight w:val="none"/>
        </w:rPr>
        <w:t>月</w:t>
      </w:r>
      <w:r>
        <w:rPr>
          <w:rFonts w:hint="eastAsia" w:ascii="宋体" w:hAnsi="宋体" w:cs="宋体"/>
          <w:kern w:val="0"/>
          <w:sz w:val="24"/>
          <w:highlight w:val="none"/>
          <w:lang w:val="en-US" w:eastAsia="zh-CN"/>
        </w:rPr>
        <w:t>01</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10</w:t>
      </w: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0:00</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报名截止时间：2024年</w:t>
      </w:r>
      <w:r>
        <w:rPr>
          <w:rFonts w:hint="eastAsia" w:ascii="宋体" w:hAnsi="宋体" w:cs="宋体"/>
          <w:kern w:val="0"/>
          <w:sz w:val="24"/>
          <w:highlight w:val="none"/>
          <w:lang w:val="en-US" w:eastAsia="zh-CN"/>
        </w:rPr>
        <w:t>02</w:t>
      </w:r>
      <w:r>
        <w:rPr>
          <w:rFonts w:hint="eastAsia" w:ascii="宋体" w:hAnsi="宋体" w:cs="宋体"/>
          <w:kern w:val="0"/>
          <w:sz w:val="24"/>
          <w:highlight w:val="none"/>
        </w:rPr>
        <w:t>月</w:t>
      </w:r>
      <w:r>
        <w:rPr>
          <w:rFonts w:hint="eastAsia" w:ascii="宋体" w:hAnsi="宋体" w:cs="宋体"/>
          <w:kern w:val="0"/>
          <w:sz w:val="24"/>
          <w:highlight w:val="none"/>
          <w:lang w:val="en-US" w:eastAsia="zh-CN"/>
        </w:rPr>
        <w:t>05</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17</w:t>
      </w:r>
      <w:r>
        <w:rPr>
          <w:rFonts w:hint="eastAsia" w:ascii="宋体" w:hAnsi="宋体" w:cs="宋体"/>
          <w:kern w:val="0"/>
          <w:sz w:val="24"/>
          <w:highlight w:val="none"/>
        </w:rPr>
        <w:t>:00:00</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网上竞价开始时间：2024年</w:t>
      </w:r>
      <w:r>
        <w:rPr>
          <w:rFonts w:hint="eastAsia" w:ascii="宋体" w:hAnsi="宋体" w:cs="宋体"/>
          <w:kern w:val="0"/>
          <w:sz w:val="24"/>
          <w:highlight w:val="none"/>
          <w:lang w:val="en-US" w:eastAsia="zh-CN"/>
        </w:rPr>
        <w:t>02</w:t>
      </w:r>
      <w:r>
        <w:rPr>
          <w:rFonts w:hint="eastAsia" w:ascii="宋体" w:hAnsi="宋体" w:cs="宋体"/>
          <w:kern w:val="0"/>
          <w:sz w:val="24"/>
          <w:highlight w:val="none"/>
        </w:rPr>
        <w:t>月</w:t>
      </w:r>
      <w:r>
        <w:rPr>
          <w:rFonts w:hint="eastAsia" w:ascii="宋体" w:hAnsi="宋体" w:cs="宋体"/>
          <w:kern w:val="0"/>
          <w:sz w:val="24"/>
          <w:highlight w:val="none"/>
          <w:lang w:val="en-US" w:eastAsia="zh-CN"/>
        </w:rPr>
        <w:t>06</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0</w:t>
      </w:r>
      <w:bookmarkStart w:id="24" w:name="_GoBack"/>
      <w:bookmarkEnd w:id="24"/>
      <w:r>
        <w:rPr>
          <w:rFonts w:hint="eastAsia" w:ascii="宋体" w:hAnsi="宋体" w:cs="宋体"/>
          <w:kern w:val="0"/>
          <w:sz w:val="24"/>
          <w:highlight w:val="none"/>
          <w:lang w:val="en-US" w:eastAsia="zh-CN"/>
        </w:rPr>
        <w:t>9</w:t>
      </w: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0:00</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网上竞价截止时间：2024年</w:t>
      </w:r>
      <w:r>
        <w:rPr>
          <w:rFonts w:hint="eastAsia" w:ascii="宋体" w:hAnsi="宋体" w:cs="宋体"/>
          <w:kern w:val="0"/>
          <w:sz w:val="24"/>
          <w:highlight w:val="none"/>
          <w:lang w:val="en-US" w:eastAsia="zh-CN"/>
        </w:rPr>
        <w:t>02</w:t>
      </w:r>
      <w:r>
        <w:rPr>
          <w:rFonts w:hint="eastAsia" w:ascii="宋体" w:hAnsi="宋体" w:cs="宋体"/>
          <w:kern w:val="0"/>
          <w:sz w:val="24"/>
          <w:highlight w:val="none"/>
        </w:rPr>
        <w:t>月</w:t>
      </w:r>
      <w:r>
        <w:rPr>
          <w:rFonts w:hint="eastAsia" w:ascii="宋体" w:hAnsi="宋体" w:cs="宋体"/>
          <w:kern w:val="0"/>
          <w:sz w:val="24"/>
          <w:highlight w:val="none"/>
          <w:lang w:val="en-US" w:eastAsia="zh-CN"/>
        </w:rPr>
        <w:t>06</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11</w:t>
      </w: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0:00</w:t>
      </w:r>
    </w:p>
    <w:p>
      <w:pPr>
        <w:spacing w:line="360" w:lineRule="auto"/>
        <w:ind w:firstLine="482" w:firstLineChars="200"/>
        <w:rPr>
          <w:rFonts w:ascii="宋体" w:hAnsi="宋体"/>
          <w:b/>
          <w:bCs/>
          <w:sz w:val="24"/>
        </w:rPr>
      </w:pPr>
      <w:r>
        <w:rPr>
          <w:rFonts w:hint="eastAsia" w:ascii="宋体" w:hAnsi="宋体"/>
          <w:b/>
          <w:bCs/>
          <w:sz w:val="24"/>
        </w:rPr>
        <w:t>5.供应商资格要求</w:t>
      </w:r>
    </w:p>
    <w:p>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本网上竞价文件所述货物、服务和工程</w:t>
      </w:r>
      <w:r>
        <w:rPr>
          <w:rFonts w:hint="eastAsia" w:ascii="宋体" w:hAnsi="宋体"/>
          <w:sz w:val="24"/>
        </w:rPr>
        <w:t>的法人、事业单位及其他组织</w:t>
      </w:r>
      <w:r>
        <w:rPr>
          <w:rFonts w:hint="eastAsia" w:ascii="新宋体" w:hAnsi="新宋体" w:eastAsia="新宋体"/>
          <w:sz w:val="24"/>
        </w:rPr>
        <w:t>均可能成为合格的供应商；</w:t>
      </w:r>
    </w:p>
    <w:p>
      <w:pPr>
        <w:pStyle w:val="28"/>
        <w:spacing w:line="360" w:lineRule="auto"/>
        <w:ind w:firstLine="480" w:firstLineChars="200"/>
        <w:jc w:val="left"/>
        <w:rPr>
          <w:rFonts w:hAnsi="宋体" w:cs="宋体"/>
          <w:b/>
          <w:sz w:val="24"/>
        </w:rPr>
      </w:pPr>
      <w:r>
        <w:rPr>
          <w:rFonts w:hint="eastAsia" w:hAnsi="宋体"/>
          <w:sz w:val="24"/>
        </w:rPr>
        <w:t>（2）供应商应提供以下证明材料：</w:t>
      </w:r>
    </w:p>
    <w:p>
      <w:pPr>
        <w:spacing w:line="360" w:lineRule="auto"/>
        <w:ind w:firstLine="481"/>
        <w:rPr>
          <w:rFonts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③具备履行合同所必需的设备和专业技术能力的承诺，格式详见本网上竞价文件第五章《竞价承诺书》；</w:t>
      </w:r>
    </w:p>
    <w:p>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pPr>
        <w:spacing w:line="360" w:lineRule="auto"/>
        <w:ind w:firstLine="481"/>
        <w:rPr>
          <w:rFonts w:ascii="Times New Roman" w:hAnsi="Times New Roman"/>
          <w:sz w:val="24"/>
        </w:rPr>
      </w:pPr>
      <w:r>
        <w:rPr>
          <w:rFonts w:hint="eastAsia" w:ascii="宋体" w:hAnsi="宋体"/>
          <w:sz w:val="24"/>
        </w:rPr>
        <w:t>⑤</w:t>
      </w:r>
      <w:r>
        <w:rPr>
          <w:rFonts w:hint="eastAsia" w:ascii="Times New Roman" w:hAnsi="Times New Roman"/>
          <w:sz w:val="24"/>
        </w:rPr>
        <w:t>特定资格要求（若有）。</w:t>
      </w:r>
    </w:p>
    <w:p>
      <w:pPr>
        <w:spacing w:line="360" w:lineRule="auto"/>
        <w:ind w:firstLine="481"/>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sz w:val="24"/>
        </w:rPr>
      </w:pPr>
      <w:r>
        <w:rPr>
          <w:rFonts w:hint="eastAsia" w:ascii="宋体" w:hAnsi="宋体"/>
          <w:sz w:val="24"/>
        </w:rPr>
        <w:t>（4）本项目是否接受联合体竞价：不接受。</w:t>
      </w:r>
    </w:p>
    <w:p>
      <w:pPr>
        <w:widowControl/>
        <w:spacing w:line="360" w:lineRule="auto"/>
        <w:ind w:firstLine="480" w:firstLineChars="200"/>
        <w:jc w:val="left"/>
        <w:rPr>
          <w:rStyle w:val="29"/>
        </w:rPr>
      </w:pPr>
      <w:r>
        <w:rPr>
          <w:rStyle w:val="29"/>
          <w:rFonts w:ascii="宋体" w:hAnsi="宋体" w:cs="宋体"/>
          <w:sz w:val="24"/>
        </w:rPr>
        <w:t>注：</w:t>
      </w:r>
      <w:r>
        <w:rPr>
          <w:rFonts w:hint="eastAsia" w:ascii="宋体" w:hAnsi="宋体"/>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sz w:val="24"/>
        </w:rPr>
      </w:pPr>
      <w:r>
        <w:rPr>
          <w:rFonts w:hint="eastAsia" w:ascii="宋体" w:hAnsi="宋体"/>
          <w:b/>
          <w:sz w:val="24"/>
        </w:rPr>
        <w:t>6.网上竞价文件售价</w:t>
      </w:r>
    </w:p>
    <w:p>
      <w:pPr>
        <w:widowControl/>
        <w:spacing w:line="360" w:lineRule="auto"/>
        <w:ind w:firstLine="480" w:firstLineChars="200"/>
        <w:jc w:val="left"/>
      </w:pPr>
      <w:r>
        <w:rPr>
          <w:rFonts w:hint="eastAsia" w:ascii="宋体" w:hAnsi="宋体"/>
          <w:bCs/>
          <w:sz w:val="24"/>
        </w:rPr>
        <w:t>网上竞价文件售价0元，在报</w:t>
      </w:r>
      <w:r>
        <w:rPr>
          <w:rFonts w:hint="eastAsia" w:ascii="宋体" w:hAnsi="宋体"/>
          <w:sz w:val="24"/>
        </w:rPr>
        <w:t>名期限内，各潜在供应商可直接从采购公告附件中获取网上竞价文件。</w:t>
      </w:r>
    </w:p>
    <w:p>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pPr>
        <w:spacing w:line="360" w:lineRule="auto"/>
        <w:ind w:firstLine="480" w:firstLineChars="200"/>
        <w:rPr>
          <w:rFonts w:ascii="宋体" w:hAnsi="宋体" w:cs="宋体"/>
          <w:sz w:val="24"/>
        </w:rPr>
      </w:pPr>
      <w:r>
        <w:rPr>
          <w:rFonts w:hint="eastAsia" w:ascii="宋体" w:hAnsi="宋体" w:cs="宋体"/>
          <w:sz w:val="24"/>
        </w:rPr>
        <w:t>本项目网上竞价保证金为287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开 户 名：福建省健坤招标有限公司</w:t>
      </w:r>
    </w:p>
    <w:p>
      <w:pPr>
        <w:spacing w:line="360" w:lineRule="auto"/>
        <w:ind w:firstLine="480" w:firstLineChars="200"/>
        <w:rPr>
          <w:rFonts w:ascii="宋体" w:hAnsi="宋体" w:cs="宋体"/>
          <w:sz w:val="24"/>
        </w:rPr>
      </w:pPr>
      <w:r>
        <w:rPr>
          <w:rFonts w:hint="eastAsia" w:ascii="宋体" w:hAnsi="宋体" w:cs="宋体"/>
          <w:sz w:val="24"/>
        </w:rPr>
        <w:t>开 户 行：工行福州自贸区分行营业部</w:t>
      </w:r>
    </w:p>
    <w:p>
      <w:pPr>
        <w:spacing w:line="360" w:lineRule="auto"/>
        <w:ind w:firstLine="480" w:firstLineChars="200"/>
        <w:rPr>
          <w:rFonts w:ascii="宋体" w:hAnsi="宋体" w:cs="宋体"/>
          <w:sz w:val="24"/>
        </w:rPr>
      </w:pPr>
      <w:r>
        <w:rPr>
          <w:rFonts w:hint="eastAsia" w:ascii="宋体" w:hAnsi="宋体" w:cs="宋体"/>
          <w:sz w:val="24"/>
        </w:rPr>
        <w:t>账 号：1402026119601231007</w:t>
      </w:r>
    </w:p>
    <w:p>
      <w:pPr>
        <w:spacing w:line="360" w:lineRule="auto"/>
        <w:ind w:firstLine="480" w:firstLineChars="200"/>
        <w:rPr>
          <w:rFonts w:ascii="宋体" w:hAnsi="宋体" w:cs="宋体"/>
          <w:sz w:val="24"/>
        </w:rPr>
      </w:pPr>
      <w:r>
        <w:rPr>
          <w:rFonts w:hint="eastAsia" w:ascii="宋体" w:hAnsi="宋体" w:cs="宋体"/>
          <w:sz w:val="24"/>
        </w:rPr>
        <w:t>8.响应文件有效期：首次响应文件提交截止时间起90个日历日。</w:t>
      </w:r>
    </w:p>
    <w:p>
      <w:pPr>
        <w:spacing w:line="360" w:lineRule="auto"/>
        <w:ind w:firstLine="480" w:firstLineChars="200"/>
        <w:rPr>
          <w:rFonts w:ascii="宋体" w:hAnsi="宋体" w:cs="宋体"/>
          <w:sz w:val="24"/>
        </w:rPr>
      </w:pPr>
      <w:r>
        <w:rPr>
          <w:rFonts w:hint="eastAsia" w:ascii="宋体" w:hAnsi="宋体" w:cs="宋体"/>
          <w:sz w:val="24"/>
        </w:rPr>
        <w:t>9.代理服务费：按成交金额的差额定率累进法计算后，成交供应商收取。成交供应商应在领取成交通知书的同时以现金、转账、电汇付款方式一次性向代理机构缴纳采购代理服务费。成交金额的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sz w:val="24"/>
        </w:rPr>
      </w:pPr>
      <w:r>
        <w:rPr>
          <w:rFonts w:hint="eastAsia" w:ascii="宋体" w:hAnsi="宋体"/>
          <w:bCs/>
          <w:sz w:val="24"/>
        </w:rPr>
        <w:t>10.联系方式</w:t>
      </w:r>
    </w:p>
    <w:p>
      <w:pPr>
        <w:spacing w:line="360" w:lineRule="auto"/>
        <w:ind w:firstLine="480" w:firstLineChars="200"/>
        <w:rPr>
          <w:rFonts w:ascii="宋体" w:hAnsi="宋体"/>
          <w:sz w:val="24"/>
          <w:highlight w:val="none"/>
        </w:rPr>
      </w:pPr>
      <w:r>
        <w:rPr>
          <w:rFonts w:hint="eastAsia" w:ascii="宋体" w:hAnsi="宋体"/>
          <w:sz w:val="24"/>
          <w:highlight w:val="none"/>
        </w:rPr>
        <w:t>采购人：福建省女子监狱</w:t>
      </w:r>
    </w:p>
    <w:p>
      <w:pPr>
        <w:spacing w:line="360" w:lineRule="auto"/>
        <w:ind w:firstLine="480" w:firstLineChars="200"/>
        <w:rPr>
          <w:rFonts w:ascii="宋体" w:hAnsi="宋体"/>
          <w:sz w:val="24"/>
          <w:highlight w:val="none"/>
        </w:rPr>
      </w:pPr>
      <w:r>
        <w:rPr>
          <w:rFonts w:hint="eastAsia" w:ascii="宋体" w:hAnsi="宋体"/>
          <w:sz w:val="24"/>
          <w:highlight w:val="none"/>
        </w:rPr>
        <w:t>地  址：福州市闽侯县南屿镇新南大道156号</w:t>
      </w:r>
    </w:p>
    <w:p>
      <w:pPr>
        <w:spacing w:line="360" w:lineRule="auto"/>
        <w:ind w:firstLine="480" w:firstLineChars="200"/>
        <w:rPr>
          <w:rFonts w:ascii="宋体" w:hAnsi="宋体" w:cs="宋体"/>
          <w:sz w:val="24"/>
          <w:highlight w:val="none"/>
        </w:rPr>
      </w:pPr>
      <w:r>
        <w:rPr>
          <w:rFonts w:hint="eastAsia" w:ascii="宋体" w:hAnsi="宋体"/>
          <w:sz w:val="24"/>
          <w:highlight w:val="none"/>
        </w:rPr>
        <w:t>联</w:t>
      </w:r>
      <w:r>
        <w:rPr>
          <w:rFonts w:hint="eastAsia" w:ascii="宋体" w:hAnsi="宋体" w:cs="宋体"/>
          <w:sz w:val="24"/>
          <w:highlight w:val="none"/>
        </w:rPr>
        <w:t>系人及电话：赵警官、0591-23506031</w:t>
      </w:r>
    </w:p>
    <w:p>
      <w:pPr>
        <w:spacing w:line="360" w:lineRule="auto"/>
        <w:ind w:firstLine="480" w:firstLineChars="200"/>
        <w:rPr>
          <w:rFonts w:ascii="宋体" w:hAnsi="宋体" w:cs="宋体"/>
          <w:sz w:val="24"/>
        </w:rPr>
      </w:pPr>
      <w:r>
        <w:rPr>
          <w:rFonts w:hint="eastAsia" w:ascii="宋体" w:hAnsi="宋体" w:cs="宋体"/>
          <w:sz w:val="24"/>
        </w:rPr>
        <w:t>采购代理机构：</w:t>
      </w:r>
      <w:r>
        <w:rPr>
          <w:rFonts w:hint="eastAsia" w:ascii="宋体" w:hAnsi="宋体"/>
          <w:sz w:val="24"/>
        </w:rPr>
        <w:t>福建省健坤招标有限公司</w:t>
      </w:r>
    </w:p>
    <w:p>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sz w:val="24"/>
        </w:rPr>
        <w:t>福州市鼓楼区五四路158号环球广场A区37层</w:t>
      </w:r>
    </w:p>
    <w:p>
      <w:pPr>
        <w:spacing w:line="360" w:lineRule="auto"/>
        <w:ind w:firstLine="480" w:firstLineChars="200"/>
        <w:rPr>
          <w:rFonts w:ascii="宋体" w:hAnsi="宋体" w:cs="宋体"/>
          <w:sz w:val="24"/>
        </w:rPr>
      </w:pPr>
      <w:r>
        <w:rPr>
          <w:rFonts w:hint="eastAsia" w:ascii="宋体" w:hAnsi="宋体" w:cs="宋体"/>
          <w:sz w:val="24"/>
        </w:rPr>
        <w:t>邮  编：</w:t>
      </w:r>
      <w:r>
        <w:rPr>
          <w:rFonts w:hint="eastAsia" w:ascii="宋体" w:hAnsi="宋体"/>
          <w:sz w:val="24"/>
        </w:rPr>
        <w:t>350001</w:t>
      </w:r>
    </w:p>
    <w:p>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sz w:val="24"/>
        </w:rPr>
        <w:t>0591-87318812</w:t>
      </w:r>
    </w:p>
    <w:p>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sz w:val="24"/>
        </w:rPr>
        <w:t>田雪丽、欧文浩、黄姝琳</w:t>
      </w:r>
    </w:p>
    <w:p>
      <w:pPr>
        <w:spacing w:line="360" w:lineRule="auto"/>
        <w:ind w:firstLine="480" w:firstLineChars="200"/>
        <w:rPr>
          <w:rFonts w:ascii="宋体" w:hAnsi="宋体" w:cs="宋体"/>
          <w:sz w:val="24"/>
        </w:rPr>
      </w:pPr>
      <w:r>
        <w:rPr>
          <w:rFonts w:hint="eastAsia" w:ascii="宋体" w:hAnsi="宋体" w:cs="宋体"/>
          <w:sz w:val="24"/>
        </w:rPr>
        <w:t>公司网址：</w:t>
      </w:r>
      <w:r>
        <w:rPr>
          <w:rFonts w:hint="eastAsia" w:ascii="宋体" w:hAnsi="宋体"/>
          <w:sz w:val="24"/>
        </w:rPr>
        <w:t>http://www.jiankunzx.com/</w:t>
      </w:r>
    </w:p>
    <w:p>
      <w:pPr>
        <w:spacing w:line="360" w:lineRule="auto"/>
        <w:ind w:firstLine="480" w:firstLineChars="200"/>
        <w:rPr>
          <w:rFonts w:ascii="宋体" w:hAnsi="宋体" w:cs="宋体"/>
          <w:sz w:val="24"/>
        </w:rPr>
      </w:pPr>
      <w:r>
        <w:rPr>
          <w:rFonts w:hint="eastAsia" w:ascii="宋体" w:hAnsi="宋体" w:cs="宋体"/>
          <w:sz w:val="24"/>
        </w:rPr>
        <w:t>电子邮箱：</w:t>
      </w:r>
      <w:r>
        <w:rPr>
          <w:rFonts w:hint="eastAsia"/>
        </w:rPr>
        <w:fldChar w:fldCharType="begin"/>
      </w:r>
      <w:r>
        <w:instrText xml:space="preserve"> HYPERLINK "mailto:fjthzb@163.com" </w:instrText>
      </w:r>
      <w:r>
        <w:rPr>
          <w:rFonts w:hint="eastAsia"/>
        </w:rPr>
        <w:fldChar w:fldCharType="separate"/>
      </w:r>
      <w:r>
        <w:rPr>
          <w:rFonts w:hint="eastAsia" w:ascii="宋体" w:hAnsi="宋体"/>
          <w:sz w:val="24"/>
        </w:rPr>
        <w:t>jkzb@jiankunzx.com</w:t>
      </w:r>
      <w:r>
        <w:rPr>
          <w:rFonts w:hint="eastAsia" w:ascii="宋体" w:hAnsi="宋体"/>
          <w:sz w:val="24"/>
        </w:rPr>
        <w:fldChar w:fldCharType="end"/>
      </w:r>
    </w:p>
    <w:p>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w:t>
      </w:r>
      <w:r>
        <w:rPr>
          <w:rFonts w:hint="eastAsia" w:ascii="宋体" w:hAnsi="宋体"/>
          <w:sz w:val="24"/>
        </w:rPr>
        <w:t>福建省健坤招标有限公司</w:t>
      </w:r>
      <w:r>
        <w:rPr>
          <w:rFonts w:hint="eastAsia" w:ascii="宋体" w:hAnsi="宋体" w:cs="宋体"/>
          <w:sz w:val="24"/>
        </w:rPr>
        <w:t>将通过以下媒介发布通知，请潜在供应商随时关注相关网站，以免错漏重要信息。</w:t>
      </w:r>
    </w:p>
    <w:p>
      <w:pPr>
        <w:pStyle w:val="4"/>
        <w:spacing w:beforeAutospacing="0" w:afterAutospacing="0" w:line="360" w:lineRule="auto"/>
        <w:ind w:firstLine="480" w:firstLineChars="200"/>
        <w:rPr>
          <w:rFonts w:cs="宋体"/>
          <w:b w:val="0"/>
          <w:kern w:val="2"/>
          <w:sz w:val="24"/>
          <w:szCs w:val="24"/>
        </w:rPr>
      </w:pPr>
      <w:r>
        <w:rPr>
          <w:rFonts w:hint="eastAsia" w:cs="宋体"/>
          <w:b w:val="0"/>
          <w:kern w:val="2"/>
          <w:sz w:val="24"/>
          <w:szCs w:val="24"/>
        </w:rPr>
        <w:t>中国政府采购网，网址：www.ccgp.gov.cn；</w:t>
      </w:r>
    </w:p>
    <w:p>
      <w:pPr>
        <w:spacing w:line="360" w:lineRule="auto"/>
        <w:ind w:left="480"/>
        <w:rPr>
          <w:rFonts w:ascii="宋体" w:hAnsi="宋体"/>
          <w:sz w:val="24"/>
        </w:rPr>
      </w:pPr>
      <w:r>
        <w:rPr>
          <w:rFonts w:hint="eastAsia" w:ascii="宋体" w:hAnsi="宋体"/>
          <w:sz w:val="24"/>
        </w:rPr>
        <w:t>福建省健坤招标有限公司（http://www.jiankunzx.com/）</w:t>
      </w:r>
    </w:p>
    <w:p>
      <w:pPr>
        <w:spacing w:line="360" w:lineRule="auto"/>
      </w:pPr>
    </w:p>
    <w:p>
      <w:pPr>
        <w:spacing w:line="360" w:lineRule="auto"/>
      </w:pPr>
      <w:r>
        <w:br w:type="page"/>
      </w:r>
    </w:p>
    <w:p>
      <w:pPr>
        <w:numPr>
          <w:ilvl w:val="0"/>
          <w:numId w:val="1"/>
        </w:numPr>
        <w:spacing w:line="360" w:lineRule="auto"/>
        <w:jc w:val="center"/>
        <w:rPr>
          <w:rFonts w:ascii="宋体" w:hAnsi="宋体" w:cs="宋体"/>
          <w:b/>
          <w:kern w:val="0"/>
          <w:sz w:val="32"/>
          <w:szCs w:val="32"/>
        </w:rPr>
      </w:pPr>
      <w:r>
        <w:rPr>
          <w:rFonts w:hint="eastAsia" w:ascii="宋体" w:hAnsi="宋体" w:cs="宋体"/>
          <w:b/>
          <w:kern w:val="0"/>
          <w:sz w:val="32"/>
          <w:szCs w:val="32"/>
        </w:rPr>
        <w:t>网上竞价须知</w:t>
      </w:r>
    </w:p>
    <w:p>
      <w:pPr>
        <w:spacing w:line="360" w:lineRule="auto"/>
        <w:ind w:firstLine="482" w:firstLineChars="200"/>
        <w:jc w:val="left"/>
        <w:rPr>
          <w:rFonts w:ascii="宋体" w:hAnsi="宋体" w:cs="宋体"/>
          <w:b/>
          <w:bCs/>
          <w:sz w:val="24"/>
        </w:rPr>
      </w:pPr>
      <w:r>
        <w:rPr>
          <w:rFonts w:hint="eastAsia" w:ascii="宋体" w:hAnsi="宋体" w:cs="宋体"/>
          <w:b/>
          <w:bCs/>
          <w:sz w:val="24"/>
        </w:rPr>
        <w:t>一、合格的供应商</w:t>
      </w:r>
    </w:p>
    <w:p>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29"/>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p>
    <w:p>
      <w:pPr>
        <w:pStyle w:val="20"/>
        <w:spacing w:after="0" w:line="360" w:lineRule="auto"/>
        <w:ind w:left="0" w:leftChars="0" w:firstLine="480" w:firstLineChars="200"/>
        <w:rPr>
          <w:rFonts w:ascii="宋体" w:hAnsi="宋体" w:cs="宋体"/>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20"/>
        <w:spacing w:line="360" w:lineRule="auto"/>
        <w:ind w:left="0" w:leftChars="0" w:firstLine="480" w:firstLineChars="200"/>
        <w:rPr>
          <w:rFonts w:ascii="宋体" w:hAnsi="宋体" w:cs="宋体"/>
          <w:sz w:val="24"/>
        </w:rPr>
      </w:pPr>
      <w:r>
        <w:rPr>
          <w:rFonts w:hint="eastAsia" w:ascii="宋体" w:hAnsi="宋体" w:cs="宋体"/>
          <w:sz w:val="24"/>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29"/>
          <w:rFonts w:ascii="宋体" w:hAnsi="宋体"/>
          <w:b/>
          <w:bCs/>
          <w:kern w:val="0"/>
          <w:sz w:val="24"/>
        </w:rPr>
      </w:pPr>
      <w:r>
        <w:rPr>
          <w:rStyle w:val="29"/>
          <w:rFonts w:hint="eastAsia" w:ascii="宋体" w:hAnsi="宋体"/>
          <w:b/>
          <w:bCs/>
          <w:kern w:val="0"/>
          <w:sz w:val="24"/>
        </w:rPr>
        <w:t>二、报名须知</w:t>
      </w:r>
    </w:p>
    <w:p>
      <w:pPr>
        <w:widowControl/>
        <w:spacing w:line="360" w:lineRule="auto"/>
        <w:ind w:firstLine="480" w:firstLineChars="200"/>
        <w:jc w:val="left"/>
        <w:rPr>
          <w:rStyle w:val="29"/>
          <w:rFonts w:ascii="宋体" w:hAnsi="宋体" w:cs="宋体"/>
          <w:kern w:val="0"/>
          <w:sz w:val="24"/>
        </w:rPr>
      </w:pPr>
      <w:r>
        <w:rPr>
          <w:rStyle w:val="29"/>
          <w:rFonts w:hint="eastAsia" w:ascii="宋体" w:hAnsi="宋体" w:cs="宋体"/>
          <w:kern w:val="0"/>
          <w:sz w:val="24"/>
        </w:rPr>
        <w:t>1.供应商应在网上竞价平台（网址：</w:t>
      </w:r>
      <w:r>
        <w:rPr>
          <w:rFonts w:ascii="宋体" w:hAnsi="宋体" w:cs="宋体"/>
          <w:sz w:val="24"/>
        </w:rPr>
        <w:fldChar w:fldCharType="begin"/>
      </w:r>
      <w:r>
        <w:rPr>
          <w:rFonts w:ascii="宋体" w:hAnsi="宋体" w:cs="宋体"/>
          <w:sz w:val="24"/>
        </w:rPr>
        <w:instrText xml:space="preserve"> HYPERLINK "http://121.42.9.114:8083/"</w:instrText>
      </w:r>
      <w:r>
        <w:rPr>
          <w:rFonts w:ascii="宋体" w:hAnsi="宋体" w:cs="宋体"/>
          <w:sz w:val="24"/>
        </w:rPr>
        <w:fldChar w:fldCharType="separate"/>
      </w:r>
      <w:r>
        <w:rPr>
          <w:rStyle w:val="25"/>
          <w:rFonts w:ascii="宋体" w:hAnsi="宋体" w:cs="宋体"/>
          <w:color w:val="auto"/>
          <w:sz w:val="24"/>
        </w:rPr>
        <w:t>http://121.42.9.114:8083/</w:t>
      </w:r>
      <w:r>
        <w:rPr>
          <w:rFonts w:ascii="宋体" w:hAnsi="宋体" w:cs="宋体"/>
          <w:sz w:val="24"/>
        </w:rPr>
        <w:fldChar w:fldCharType="end"/>
      </w:r>
      <w:r>
        <w:rPr>
          <w:rStyle w:val="29"/>
          <w:rFonts w:hint="eastAsia" w:ascii="宋体" w:hAnsi="宋体" w:cs="宋体"/>
          <w:kern w:val="0"/>
          <w:sz w:val="24"/>
        </w:rPr>
        <w:t>）上进行注册、报名（上传响应文件）、网上竞价等相关操作，具体操作指南详见网上竞价平台（网址：</w:t>
      </w:r>
      <w:r>
        <w:rPr>
          <w:rStyle w:val="29"/>
          <w:rFonts w:hint="eastAsia" w:ascii="宋体" w:hAnsi="宋体" w:cs="宋体"/>
          <w:kern w:val="0"/>
          <w:sz w:val="24"/>
        </w:rPr>
        <w:fldChar w:fldCharType="begin"/>
      </w:r>
      <w:r>
        <w:rPr>
          <w:rStyle w:val="29"/>
          <w:rFonts w:hint="eastAsia" w:ascii="宋体" w:hAnsi="宋体" w:cs="宋体"/>
          <w:kern w:val="0"/>
          <w:sz w:val="24"/>
        </w:rPr>
        <w:instrText xml:space="preserve"> HYPERLINK "https://www.jiankunzx.com/yewuliucheng/1503.html" </w:instrText>
      </w:r>
      <w:r>
        <w:rPr>
          <w:rStyle w:val="29"/>
          <w:rFonts w:hint="eastAsia" w:ascii="宋体" w:hAnsi="宋体" w:cs="宋体"/>
          <w:kern w:val="0"/>
          <w:sz w:val="24"/>
        </w:rPr>
        <w:fldChar w:fldCharType="separate"/>
      </w:r>
      <w:r>
        <w:rPr>
          <w:rStyle w:val="29"/>
          <w:rFonts w:hint="eastAsia" w:ascii="宋体" w:hAnsi="宋体" w:cs="宋体"/>
          <w:kern w:val="0"/>
          <w:sz w:val="24"/>
        </w:rPr>
        <w:t>https://www.jiankunzx.com/yewuliucheng/1503.html</w:t>
      </w:r>
      <w:r>
        <w:rPr>
          <w:rStyle w:val="29"/>
          <w:rFonts w:hint="eastAsia" w:ascii="宋体" w:hAnsi="宋体" w:cs="宋体"/>
          <w:kern w:val="0"/>
          <w:sz w:val="24"/>
        </w:rPr>
        <w:fldChar w:fldCharType="end"/>
      </w:r>
      <w:r>
        <w:rPr>
          <w:rStyle w:val="29"/>
          <w:rFonts w:hint="eastAsia" w:ascii="宋体" w:hAnsi="宋体" w:cs="宋体"/>
          <w:kern w:val="0"/>
          <w:sz w:val="24"/>
        </w:rPr>
        <w:t>）</w:t>
      </w:r>
      <w:r>
        <w:rPr>
          <w:rStyle w:val="29"/>
          <w:rFonts w:hint="eastAsia" w:ascii="宋体" w:hAnsi="宋体" w:cs="宋体"/>
          <w:b/>
          <w:bCs/>
          <w:kern w:val="0"/>
          <w:sz w:val="24"/>
        </w:rPr>
        <w:t>。</w:t>
      </w:r>
      <w:r>
        <w:rPr>
          <w:rStyle w:val="29"/>
          <w:rFonts w:hint="eastAsia" w:ascii="宋体" w:hAnsi="宋体" w:cs="宋体"/>
          <w:kern w:val="0"/>
          <w:sz w:val="24"/>
        </w:rPr>
        <w:t>若实际网上竞价平台操作与操作指南描述不一致的，按实际网上竞价平台系统要求的进行操作，若因供应商操作不当导致审核不合格或报价无效的，由其自行承担相应后果。</w:t>
      </w:r>
    </w:p>
    <w:p>
      <w:pPr>
        <w:widowControl/>
        <w:spacing w:line="360" w:lineRule="auto"/>
        <w:ind w:firstLine="480" w:firstLineChars="200"/>
        <w:jc w:val="left"/>
        <w:rPr>
          <w:rFonts w:ascii="宋体" w:hAnsi="宋体"/>
          <w:sz w:val="24"/>
        </w:rPr>
      </w:pPr>
      <w:r>
        <w:rPr>
          <w:rFonts w:hint="eastAsia" w:ascii="宋体" w:hAnsi="宋体" w:cs="宋体"/>
          <w:sz w:val="24"/>
        </w:rPr>
        <w:t>2.供应商须</w:t>
      </w:r>
      <w:r>
        <w:rPr>
          <w:rStyle w:val="29"/>
          <w:rFonts w:hint="eastAsia" w:ascii="宋体" w:hAnsi="宋体" w:cs="宋体"/>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rPr>
        <w:t>供应商可在网上竞价开始时间前通过平台查询其是否通过审核，如未通过审核，可获悉未通过的具体原因。</w:t>
      </w:r>
    </w:p>
    <w:p>
      <w:pPr>
        <w:pStyle w:val="16"/>
        <w:spacing w:before="75" w:beforeAutospacing="0" w:after="75" w:afterAutospacing="0" w:line="360" w:lineRule="auto"/>
        <w:ind w:firstLine="480"/>
        <w:rPr>
          <w:rStyle w:val="29"/>
          <w:rFonts w:ascii="Times New Roman" w:hAnsi="Times New Roman" w:cs="Times New Roman"/>
          <w:b/>
          <w:bCs/>
          <w:sz w:val="24"/>
        </w:rPr>
      </w:pPr>
      <w:r>
        <w:rPr>
          <w:rFonts w:hint="eastAsia"/>
        </w:rPr>
        <w:t>3.</w:t>
      </w:r>
      <w:r>
        <w:rPr>
          <w:rStyle w:val="29"/>
          <w:rFonts w:hint="eastAsia"/>
          <w:sz w:val="24"/>
        </w:rPr>
        <w:t>供应商提交的响应文件符合网上竞价文件要求的（即不存在网上竞价文件中规定的无效响应情形的）方可在网上竞价时间内参与竞价</w:t>
      </w:r>
      <w:r>
        <w:rPr>
          <w:rStyle w:val="29"/>
          <w:sz w:val="24"/>
        </w:rPr>
        <w:t>。</w:t>
      </w:r>
      <w:r>
        <w:rPr>
          <w:rStyle w:val="29"/>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29"/>
          <w:rFonts w:ascii="Times New Roman" w:hAnsi="Times New Roman" w:cs="Times New Roman"/>
        </w:rPr>
        <w:t>力</w:t>
      </w:r>
      <w:r>
        <w:rPr>
          <w:rStyle w:val="29"/>
          <w:rFonts w:hint="eastAsia" w:ascii="Times New Roman" w:hAnsi="Times New Roman" w:cs="Times New Roman"/>
          <w:sz w:val="24"/>
        </w:rPr>
        <w:t>。</w:t>
      </w:r>
      <w:r>
        <w:rPr>
          <w:rStyle w:val="29"/>
          <w:rFonts w:hint="eastAsia" w:ascii="Times New Roman" w:hAnsi="Times New Roman" w:cs="Times New Roman"/>
          <w:b/>
          <w:bCs/>
          <w:sz w:val="24"/>
        </w:rPr>
        <w:t>若合格供应商数量不足三家的（除“</w:t>
      </w:r>
      <w:r>
        <w:rPr>
          <w:rStyle w:val="29"/>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9"/>
          <w:rFonts w:hint="eastAsia" w:ascii="Times New Roman" w:hAnsi="Times New Roman" w:cs="Times New Roman"/>
          <w:b/>
          <w:bCs/>
          <w:sz w:val="24"/>
        </w:rPr>
        <w:t>”情形外），</w:t>
      </w:r>
      <w:r>
        <w:rPr>
          <w:rStyle w:val="29"/>
          <w:rFonts w:hint="eastAsia" w:ascii="Times New Roman" w:hAnsi="Times New Roman" w:cs="Times New Roman"/>
          <w:sz w:val="24"/>
        </w:rPr>
        <w:t>本次采购活动结束，采购人将按照相关规定进行后续采购活动（包括但不限于：重新开展网上竞价活动、采用其他方式采购等）。</w:t>
      </w:r>
    </w:p>
    <w:p>
      <w:pPr>
        <w:pStyle w:val="16"/>
        <w:spacing w:before="75" w:beforeAutospacing="0" w:after="75" w:afterAutospacing="0" w:line="360" w:lineRule="auto"/>
        <w:ind w:firstLine="480"/>
      </w:pPr>
      <w:r>
        <w:rPr>
          <w:rFonts w:hint="eastAsia"/>
        </w:rPr>
        <w:t>4.有下列情形之一的，</w:t>
      </w:r>
      <w:r>
        <w:rPr>
          <w:rStyle w:val="24"/>
          <w:rFonts w:hint="eastAsia"/>
        </w:rPr>
        <w:t>报名审核不合格，视为无效响应：</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（1）不符合本文件第一章“供应商资格要求”的；</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pPr>
        <w:spacing w:line="360" w:lineRule="auto"/>
        <w:ind w:firstLine="482" w:firstLineChars="200"/>
        <w:rPr>
          <w:rFonts w:ascii="宋体" w:hAnsi="宋体" w:cs="宋体"/>
          <w:b/>
          <w:bCs/>
          <w:kern w:val="0"/>
          <w:sz w:val="24"/>
        </w:rPr>
      </w:pPr>
      <w:r>
        <w:rPr>
          <w:rStyle w:val="29"/>
          <w:rFonts w:hint="eastAsia" w:ascii="宋体" w:hAnsi="宋体"/>
          <w:b/>
          <w:bCs/>
          <w:kern w:val="0"/>
          <w:sz w:val="24"/>
        </w:rPr>
        <w:t>三、网上</w:t>
      </w:r>
      <w:r>
        <w:rPr>
          <w:rStyle w:val="29"/>
          <w:rFonts w:ascii="宋体" w:hAnsi="宋体"/>
          <w:b/>
          <w:bCs/>
          <w:kern w:val="0"/>
          <w:sz w:val="24"/>
        </w:rPr>
        <w:t>竞价规则</w:t>
      </w:r>
    </w:p>
    <w:p>
      <w:pPr>
        <w:pStyle w:val="16"/>
        <w:spacing w:before="75" w:beforeAutospacing="0" w:after="75" w:afterAutospacing="0" w:line="360" w:lineRule="auto"/>
        <w:ind w:firstLine="480"/>
        <w:rPr>
          <w:rStyle w:val="29"/>
          <w:kern w:val="0"/>
          <w:sz w:val="24"/>
        </w:rPr>
      </w:pPr>
      <w:r>
        <w:rPr>
          <w:rFonts w:hint="eastAsia"/>
        </w:rPr>
        <w:t>1.</w:t>
      </w:r>
      <w:r>
        <w:rPr>
          <w:rStyle w:val="29"/>
          <w:kern w:val="0"/>
          <w:sz w:val="24"/>
        </w:rPr>
        <w:t>网上竞价的报价时限为</w:t>
      </w:r>
      <w:r>
        <w:rPr>
          <w:rStyle w:val="29"/>
          <w:rFonts w:hint="eastAsia"/>
          <w:kern w:val="0"/>
          <w:sz w:val="24"/>
        </w:rPr>
        <w:t>网上竞价开始时间起至网上竞价截止时间止，在此期间内</w:t>
      </w:r>
      <w:r>
        <w:rPr>
          <w:rStyle w:val="29"/>
          <w:kern w:val="0"/>
          <w:sz w:val="24"/>
        </w:rPr>
        <w:t>，报名审核</w:t>
      </w:r>
      <w:r>
        <w:rPr>
          <w:rStyle w:val="29"/>
          <w:rFonts w:hint="eastAsia"/>
          <w:kern w:val="0"/>
          <w:sz w:val="24"/>
        </w:rPr>
        <w:t>通过</w:t>
      </w:r>
      <w:r>
        <w:rPr>
          <w:rStyle w:val="29"/>
          <w:kern w:val="0"/>
          <w:sz w:val="24"/>
        </w:rPr>
        <w:t>的</w:t>
      </w:r>
      <w:r>
        <w:rPr>
          <w:rStyle w:val="29"/>
          <w:rFonts w:hint="eastAsia"/>
          <w:kern w:val="0"/>
          <w:sz w:val="24"/>
        </w:rPr>
        <w:t>供应商</w:t>
      </w:r>
      <w:r>
        <w:rPr>
          <w:rStyle w:val="29"/>
          <w:kern w:val="0"/>
          <w:sz w:val="24"/>
        </w:rPr>
        <w:t>可通过</w:t>
      </w:r>
      <w:r>
        <w:rPr>
          <w:rStyle w:val="29"/>
          <w:rFonts w:hint="eastAsia"/>
          <w:kern w:val="0"/>
          <w:sz w:val="24"/>
        </w:rPr>
        <w:t>网上竞价平台</w:t>
      </w:r>
      <w:r>
        <w:rPr>
          <w:rStyle w:val="29"/>
          <w:kern w:val="0"/>
          <w:sz w:val="24"/>
        </w:rPr>
        <w:t>参与</w:t>
      </w:r>
      <w:r>
        <w:rPr>
          <w:rStyle w:val="29"/>
          <w:rFonts w:hint="eastAsia"/>
          <w:kern w:val="0"/>
          <w:sz w:val="24"/>
        </w:rPr>
        <w:t>网上</w:t>
      </w:r>
      <w:r>
        <w:rPr>
          <w:rStyle w:val="29"/>
          <w:kern w:val="0"/>
          <w:sz w:val="24"/>
        </w:rPr>
        <w:t>竞价（不限报价次数，在规定时间内提交报价均可）。</w:t>
      </w:r>
      <w:r>
        <w:rPr>
          <w:rFonts w:hint="eastAsia"/>
          <w:b/>
          <w:bCs/>
        </w:rPr>
        <w:t>至网上竞价截止时间止，若提交报价的供应商数量不足三家的</w:t>
      </w:r>
      <w:r>
        <w:rPr>
          <w:rStyle w:val="29"/>
          <w:rFonts w:hint="eastAsia" w:ascii="Times New Roman" w:hAnsi="Times New Roman" w:cs="Times New Roman"/>
          <w:b/>
          <w:bCs/>
          <w:sz w:val="24"/>
        </w:rPr>
        <w:t>（除“</w:t>
      </w:r>
      <w:r>
        <w:rPr>
          <w:rStyle w:val="29"/>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9"/>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29"/>
          <w:rFonts w:ascii="宋体" w:hAnsi="宋体"/>
          <w:kern w:val="0"/>
          <w:sz w:val="24"/>
        </w:rPr>
      </w:pPr>
      <w:r>
        <w:rPr>
          <w:rStyle w:val="29"/>
          <w:rFonts w:hint="eastAsia" w:ascii="宋体" w:hAnsi="宋体"/>
          <w:kern w:val="0"/>
          <w:sz w:val="24"/>
        </w:rPr>
        <w:t>2.供应商</w:t>
      </w:r>
      <w:r>
        <w:rPr>
          <w:rStyle w:val="29"/>
          <w:rFonts w:ascii="宋体" w:hAnsi="宋体"/>
          <w:kern w:val="0"/>
          <w:sz w:val="24"/>
        </w:rPr>
        <w:t>首次提交的报价</w:t>
      </w:r>
      <w:r>
        <w:rPr>
          <w:rStyle w:val="29"/>
          <w:rFonts w:hint="eastAsia" w:ascii="宋体" w:hAnsi="宋体"/>
          <w:kern w:val="0"/>
          <w:sz w:val="24"/>
        </w:rPr>
        <w:t>总价</w:t>
      </w:r>
      <w:r>
        <w:rPr>
          <w:rStyle w:val="29"/>
          <w:rFonts w:ascii="宋体" w:hAnsi="宋体"/>
          <w:kern w:val="0"/>
          <w:sz w:val="24"/>
        </w:rPr>
        <w:t>须</w:t>
      </w:r>
      <w:r>
        <w:rPr>
          <w:rStyle w:val="29"/>
          <w:rFonts w:hint="eastAsia" w:ascii="宋体" w:hAnsi="宋体"/>
          <w:kern w:val="0"/>
          <w:sz w:val="24"/>
        </w:rPr>
        <w:t>低于</w:t>
      </w:r>
      <w:r>
        <w:rPr>
          <w:rStyle w:val="29"/>
          <w:rFonts w:ascii="宋体" w:hAnsi="宋体"/>
          <w:kern w:val="0"/>
          <w:sz w:val="24"/>
        </w:rPr>
        <w:t>本项目</w:t>
      </w:r>
      <w:r>
        <w:rPr>
          <w:rStyle w:val="29"/>
          <w:rFonts w:hint="eastAsia" w:ascii="宋体" w:hAnsi="宋体"/>
          <w:kern w:val="0"/>
          <w:sz w:val="24"/>
        </w:rPr>
        <w:t>总价</w:t>
      </w:r>
      <w:r>
        <w:rPr>
          <w:rStyle w:val="29"/>
          <w:rFonts w:ascii="宋体" w:hAnsi="宋体"/>
          <w:kern w:val="0"/>
          <w:sz w:val="24"/>
        </w:rPr>
        <w:t>最高限价</w:t>
      </w:r>
      <w:r>
        <w:rPr>
          <w:rStyle w:val="29"/>
          <w:rFonts w:hint="eastAsia" w:ascii="宋体" w:hAnsi="宋体"/>
          <w:kern w:val="0"/>
          <w:sz w:val="24"/>
        </w:rPr>
        <w:t>的</w:t>
      </w:r>
      <w:r>
        <w:rPr>
          <w:rStyle w:val="29"/>
          <w:rFonts w:ascii="宋体" w:hAnsi="宋体"/>
          <w:kern w:val="0"/>
          <w:sz w:val="24"/>
        </w:rPr>
        <w:t>3%</w:t>
      </w:r>
      <w:r>
        <w:rPr>
          <w:rStyle w:val="29"/>
          <w:rFonts w:hint="eastAsia" w:ascii="宋体" w:hAnsi="宋体"/>
          <w:kern w:val="0"/>
          <w:sz w:val="24"/>
        </w:rPr>
        <w:t>以上（不含</w:t>
      </w:r>
      <w:r>
        <w:rPr>
          <w:rStyle w:val="29"/>
          <w:rFonts w:ascii="宋体" w:hAnsi="宋体"/>
          <w:kern w:val="0"/>
          <w:sz w:val="24"/>
        </w:rPr>
        <w:t>3%</w:t>
      </w:r>
      <w:r>
        <w:rPr>
          <w:rStyle w:val="29"/>
          <w:rFonts w:hint="eastAsia" w:ascii="宋体" w:hAnsi="宋体"/>
          <w:kern w:val="0"/>
          <w:sz w:val="24"/>
        </w:rPr>
        <w:t>）</w:t>
      </w:r>
      <w:r>
        <w:rPr>
          <w:rStyle w:val="29"/>
          <w:rFonts w:ascii="宋体" w:hAnsi="宋体"/>
          <w:kern w:val="0"/>
          <w:sz w:val="24"/>
        </w:rPr>
        <w:t>，否则</w:t>
      </w:r>
      <w:r>
        <w:rPr>
          <w:rStyle w:val="29"/>
          <w:rFonts w:ascii="宋体" w:hAnsi="宋体" w:cs="宋体"/>
          <w:kern w:val="0"/>
          <w:sz w:val="24"/>
        </w:rPr>
        <w:t>视为无效报价</w:t>
      </w:r>
      <w:r>
        <w:rPr>
          <w:rStyle w:val="29"/>
          <w:rFonts w:ascii="宋体" w:hAnsi="宋体"/>
          <w:kern w:val="0"/>
          <w:sz w:val="24"/>
        </w:rPr>
        <w:t>。在</w:t>
      </w:r>
      <w:r>
        <w:rPr>
          <w:rStyle w:val="29"/>
          <w:rFonts w:hint="eastAsia" w:ascii="宋体" w:hAnsi="宋体"/>
          <w:kern w:val="0"/>
          <w:sz w:val="24"/>
        </w:rPr>
        <w:t>网上竞价时间</w:t>
      </w:r>
      <w:r>
        <w:rPr>
          <w:rStyle w:val="29"/>
          <w:rFonts w:ascii="宋体" w:hAnsi="宋体"/>
          <w:kern w:val="0"/>
          <w:sz w:val="24"/>
        </w:rPr>
        <w:t>内</w:t>
      </w:r>
      <w:r>
        <w:rPr>
          <w:rStyle w:val="29"/>
          <w:rFonts w:hint="eastAsia" w:ascii="宋体" w:hAnsi="宋体"/>
          <w:kern w:val="0"/>
          <w:sz w:val="24"/>
        </w:rPr>
        <w:t>、同一供应商有</w:t>
      </w:r>
      <w:r>
        <w:rPr>
          <w:rStyle w:val="29"/>
          <w:rFonts w:ascii="宋体" w:hAnsi="宋体"/>
          <w:kern w:val="0"/>
          <w:sz w:val="24"/>
        </w:rPr>
        <w:t>多次报价的</w:t>
      </w:r>
      <w:r>
        <w:rPr>
          <w:rStyle w:val="29"/>
          <w:rFonts w:hint="eastAsia" w:ascii="宋体" w:hAnsi="宋体"/>
          <w:kern w:val="0"/>
          <w:sz w:val="24"/>
        </w:rPr>
        <w:t>情况下</w:t>
      </w:r>
      <w:r>
        <w:rPr>
          <w:rStyle w:val="29"/>
          <w:rFonts w:ascii="宋体" w:hAnsi="宋体"/>
          <w:kern w:val="0"/>
          <w:sz w:val="24"/>
        </w:rPr>
        <w:t>，</w:t>
      </w:r>
      <w:r>
        <w:rPr>
          <w:rStyle w:val="29"/>
          <w:rFonts w:hint="eastAsia" w:ascii="宋体" w:hAnsi="宋体"/>
          <w:kern w:val="0"/>
          <w:sz w:val="24"/>
        </w:rPr>
        <w:t>则该供应商的每一次</w:t>
      </w:r>
      <w:r>
        <w:rPr>
          <w:rStyle w:val="29"/>
          <w:rFonts w:ascii="宋体" w:hAnsi="宋体"/>
          <w:kern w:val="0"/>
          <w:sz w:val="24"/>
        </w:rPr>
        <w:t>报价金额必须小于自己上一次的报价金额，</w:t>
      </w:r>
      <w:r>
        <w:rPr>
          <w:rStyle w:val="29"/>
          <w:rFonts w:hint="eastAsia" w:ascii="宋体" w:hAnsi="宋体"/>
          <w:kern w:val="0"/>
          <w:sz w:val="24"/>
        </w:rPr>
        <w:t>同时以该供应商</w:t>
      </w:r>
      <w:r>
        <w:rPr>
          <w:rStyle w:val="29"/>
          <w:rFonts w:ascii="宋体" w:hAnsi="宋体"/>
          <w:kern w:val="0"/>
          <w:sz w:val="24"/>
        </w:rPr>
        <w:t>提交的最后一次报价作为</w:t>
      </w:r>
      <w:r>
        <w:rPr>
          <w:rStyle w:val="29"/>
          <w:rFonts w:hint="eastAsia" w:ascii="宋体" w:hAnsi="宋体"/>
          <w:kern w:val="0"/>
          <w:sz w:val="24"/>
        </w:rPr>
        <w:t>其最终有效报价</w:t>
      </w:r>
      <w:r>
        <w:rPr>
          <w:rStyle w:val="29"/>
          <w:rFonts w:ascii="宋体" w:hAnsi="宋体"/>
          <w:kern w:val="0"/>
          <w:sz w:val="24"/>
        </w:rPr>
        <w:t>。</w:t>
      </w:r>
    </w:p>
    <w:p>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pPr>
        <w:widowControl/>
        <w:spacing w:line="360" w:lineRule="auto"/>
        <w:ind w:firstLine="480" w:firstLineChars="200"/>
        <w:jc w:val="left"/>
        <w:textAlignment w:val="baseline"/>
        <w:rPr>
          <w:rStyle w:val="29"/>
          <w:rFonts w:ascii="宋体" w:hAnsi="宋体"/>
          <w:kern w:val="0"/>
          <w:sz w:val="24"/>
        </w:rPr>
      </w:pPr>
      <w:r>
        <w:rPr>
          <w:rFonts w:hint="eastAsia" w:ascii="宋体" w:hAnsi="宋体" w:cs="宋体"/>
          <w:sz w:val="24"/>
        </w:rPr>
        <w:t>1.</w:t>
      </w:r>
      <w:r>
        <w:rPr>
          <w:rStyle w:val="29"/>
          <w:rFonts w:hint="eastAsia" w:ascii="宋体" w:hAnsi="宋体"/>
          <w:kern w:val="0"/>
          <w:sz w:val="24"/>
        </w:rPr>
        <w:t>供应商</w:t>
      </w:r>
      <w:r>
        <w:rPr>
          <w:rStyle w:val="29"/>
          <w:rFonts w:ascii="宋体" w:hAnsi="宋体"/>
          <w:kern w:val="0"/>
          <w:sz w:val="24"/>
        </w:rPr>
        <w:t>在</w:t>
      </w:r>
      <w:r>
        <w:rPr>
          <w:rStyle w:val="29"/>
          <w:rFonts w:hint="eastAsia" w:ascii="宋体" w:hAnsi="宋体"/>
          <w:kern w:val="0"/>
          <w:sz w:val="24"/>
        </w:rPr>
        <w:t>完全满足网上竞价文件要求</w:t>
      </w:r>
      <w:r>
        <w:rPr>
          <w:rStyle w:val="29"/>
          <w:rFonts w:ascii="宋体" w:hAnsi="宋体"/>
          <w:kern w:val="0"/>
          <w:sz w:val="24"/>
        </w:rPr>
        <w:t>且报价有效的前提下，</w:t>
      </w:r>
      <w:r>
        <w:rPr>
          <w:rStyle w:val="29"/>
          <w:rFonts w:hint="eastAsia" w:ascii="宋体" w:hAnsi="宋体"/>
          <w:kern w:val="0"/>
          <w:sz w:val="24"/>
        </w:rPr>
        <w:t>最终有效报价</w:t>
      </w:r>
      <w:r>
        <w:rPr>
          <w:rStyle w:val="29"/>
          <w:rFonts w:ascii="宋体" w:hAnsi="宋体"/>
          <w:kern w:val="0"/>
          <w:sz w:val="24"/>
        </w:rPr>
        <w:t>最低者</w:t>
      </w:r>
      <w:r>
        <w:rPr>
          <w:rStyle w:val="29"/>
          <w:rFonts w:hint="eastAsia" w:ascii="宋体" w:hAnsi="宋体"/>
          <w:kern w:val="0"/>
          <w:sz w:val="24"/>
        </w:rPr>
        <w:t>为</w:t>
      </w:r>
      <w:r>
        <w:rPr>
          <w:rStyle w:val="29"/>
          <w:rFonts w:ascii="宋体" w:hAnsi="宋体"/>
          <w:kern w:val="0"/>
          <w:sz w:val="24"/>
        </w:rPr>
        <w:t>成交</w:t>
      </w:r>
      <w:r>
        <w:rPr>
          <w:rStyle w:val="29"/>
          <w:rFonts w:hint="eastAsia" w:ascii="宋体" w:hAnsi="宋体"/>
          <w:kern w:val="0"/>
          <w:sz w:val="24"/>
        </w:rPr>
        <w:t>候选人</w:t>
      </w:r>
      <w:r>
        <w:rPr>
          <w:rStyle w:val="29"/>
          <w:rFonts w:ascii="宋体" w:hAnsi="宋体"/>
          <w:kern w:val="0"/>
          <w:sz w:val="24"/>
        </w:rPr>
        <w:t>，若</w:t>
      </w:r>
      <w:r>
        <w:rPr>
          <w:rStyle w:val="29"/>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pPr>
        <w:spacing w:line="360" w:lineRule="auto"/>
        <w:ind w:firstLine="480" w:firstLineChars="200"/>
        <w:jc w:val="left"/>
        <w:rPr>
          <w:rFonts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sz w:val="24"/>
        </w:rPr>
      </w:pPr>
      <w:r>
        <w:rPr>
          <w:rFonts w:hint="eastAsia" w:ascii="宋体" w:hAnsi="宋体" w:cs="宋体"/>
          <w:b/>
          <w:bCs/>
          <w:sz w:val="24"/>
        </w:rPr>
        <w:t>五、网上竞价结果确认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pPr>
      <w:r>
        <w:rPr>
          <w:rFonts w:hint="eastAsia" w:ascii="宋体" w:hAnsi="宋体"/>
          <w:b/>
          <w:bCs/>
          <w:sz w:val="24"/>
        </w:rPr>
        <w:t>4.</w:t>
      </w:r>
      <w:r>
        <w:rPr>
          <w:rStyle w:val="29"/>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pPr>
        <w:pStyle w:val="14"/>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pPr>
        <w:pStyle w:val="14"/>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pPr>
        <w:pStyle w:val="14"/>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pPr>
        <w:pStyle w:val="14"/>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4"/>
        <w:spacing w:line="360" w:lineRule="auto"/>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5.除因不可抗力或网上竞价文件认可的情形以外，成交供应商不与采购人签订合同或不能履约的将列入景弘集团有限公司、福建省监狱管理局及其下属单位自行采购项目黑名单。</w:t>
      </w:r>
    </w:p>
    <w:p>
      <w:pPr>
        <w:pStyle w:val="16"/>
        <w:spacing w:before="0" w:beforeAutospacing="0" w:after="0" w:afterAutospacing="0" w:line="360" w:lineRule="auto"/>
        <w:ind w:firstLine="482" w:firstLineChars="200"/>
        <w:rPr>
          <w:b/>
          <w:bCs/>
          <w:kern w:val="2"/>
        </w:rPr>
      </w:pPr>
      <w:r>
        <w:rPr>
          <w:rFonts w:hint="eastAsia"/>
          <w:b/>
          <w:bCs/>
          <w:kern w:val="2"/>
        </w:rPr>
        <w:t>七、如果</w:t>
      </w:r>
      <w:r>
        <w:rPr>
          <w:rStyle w:val="29"/>
          <w:rFonts w:hint="eastAsia"/>
          <w:b/>
          <w:bCs/>
          <w:kern w:val="0"/>
          <w:sz w:val="24"/>
        </w:rPr>
        <w:t>供应商</w:t>
      </w:r>
      <w:r>
        <w:rPr>
          <w:rFonts w:hint="eastAsia"/>
          <w:b/>
          <w:bCs/>
          <w:kern w:val="2"/>
        </w:rPr>
        <w:t>发生以下任何一种情况时，其网上竞价保证金将被不予退还：</w:t>
      </w:r>
    </w:p>
    <w:p>
      <w:pPr>
        <w:pStyle w:val="16"/>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pPr>
        <w:pStyle w:val="16"/>
        <w:spacing w:before="0" w:beforeAutospacing="0" w:after="0" w:afterAutospacing="0" w:line="360" w:lineRule="auto"/>
        <w:ind w:firstLine="480" w:firstLineChars="200"/>
        <w:rPr>
          <w:kern w:val="2"/>
        </w:rPr>
      </w:pPr>
      <w:r>
        <w:rPr>
          <w:rFonts w:hint="eastAsia"/>
          <w:kern w:val="2"/>
        </w:rPr>
        <w:t>（2）成交供应商自动放弃成交资格的；</w:t>
      </w:r>
    </w:p>
    <w:p>
      <w:pPr>
        <w:pStyle w:val="16"/>
        <w:spacing w:before="0" w:beforeAutospacing="0" w:after="0" w:afterAutospacing="0" w:line="360" w:lineRule="auto"/>
        <w:ind w:firstLine="480" w:firstLineChars="200"/>
        <w:rPr>
          <w:kern w:val="2"/>
        </w:rPr>
      </w:pPr>
      <w:r>
        <w:rPr>
          <w:rFonts w:hint="eastAsia"/>
          <w:kern w:val="2"/>
        </w:rPr>
        <w:t>（3）</w:t>
      </w:r>
      <w:r>
        <w:rPr>
          <w:rStyle w:val="29"/>
          <w:rFonts w:hint="eastAsia"/>
          <w:kern w:val="0"/>
          <w:sz w:val="24"/>
        </w:rPr>
        <w:t>供应商</w:t>
      </w:r>
      <w:r>
        <w:rPr>
          <w:rFonts w:hint="eastAsia"/>
          <w:kern w:val="2"/>
        </w:rPr>
        <w:t>假借以他人名义参加竞价或者弄虚作假，骗取成交；</w:t>
      </w:r>
    </w:p>
    <w:p>
      <w:pPr>
        <w:pStyle w:val="16"/>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pPr>
        <w:spacing w:line="360" w:lineRule="auto"/>
        <w:jc w:val="center"/>
        <w:rPr>
          <w:rFonts w:ascii="宋体" w:hAnsi="宋体" w:cs="宋体"/>
          <w:b/>
          <w:kern w:val="0"/>
          <w:sz w:val="32"/>
          <w:szCs w:val="32"/>
        </w:rPr>
      </w:pPr>
    </w:p>
    <w:p>
      <w:pPr>
        <w:pStyle w:val="5"/>
        <w:spacing w:line="360" w:lineRule="auto"/>
      </w:pPr>
    </w:p>
    <w:p>
      <w:pPr>
        <w:spacing w:line="360" w:lineRule="auto"/>
        <w:rPr>
          <w:rFonts w:ascii="宋体" w:hAnsi="宋体" w:cs="宋体"/>
          <w:b/>
          <w:kern w:val="0"/>
          <w:sz w:val="32"/>
          <w:szCs w:val="32"/>
        </w:rPr>
      </w:pPr>
    </w:p>
    <w:p>
      <w:pPr>
        <w:spacing w:line="360" w:lineRule="auto"/>
        <w:jc w:val="left"/>
        <w:rPr>
          <w:rFonts w:ascii="宋体" w:hAnsi="宋体" w:cs="宋体"/>
          <w:b/>
          <w:kern w:val="0"/>
          <w:sz w:val="32"/>
          <w:szCs w:val="32"/>
        </w:rPr>
      </w:pPr>
      <w:r>
        <w:rPr>
          <w:rFonts w:hint="eastAsia" w:ascii="宋体" w:hAnsi="宋体" w:cs="宋体"/>
          <w:b/>
          <w:kern w:val="0"/>
          <w:sz w:val="32"/>
          <w:szCs w:val="32"/>
        </w:rPr>
        <w:br w:type="page"/>
      </w:r>
    </w:p>
    <w:p>
      <w:pPr>
        <w:spacing w:line="360" w:lineRule="auto"/>
        <w:jc w:val="center"/>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pPr>
        <w:snapToGrid w:val="0"/>
        <w:spacing w:line="360" w:lineRule="auto"/>
        <w:outlineLvl w:val="1"/>
        <w:rPr>
          <w:rFonts w:ascii="宋体" w:hAnsi="宋体" w:cs="宋体"/>
          <w:b/>
          <w:sz w:val="24"/>
        </w:rPr>
      </w:pPr>
      <w:bookmarkStart w:id="1" w:name="_Toc359317661"/>
      <w:bookmarkStart w:id="2" w:name="_Toc358016816"/>
      <w:bookmarkStart w:id="3" w:name="_Toc347060296"/>
      <w:bookmarkStart w:id="4" w:name="_Toc346300367"/>
      <w:bookmarkStart w:id="5" w:name="_Toc327948617"/>
      <w:bookmarkStart w:id="6" w:name="_Toc330567034"/>
      <w:r>
        <w:rPr>
          <w:rFonts w:hint="eastAsia" w:ascii="宋体" w:hAnsi="宋体" w:cs="宋体"/>
          <w:b/>
          <w:sz w:val="24"/>
        </w:rPr>
        <w:t>一、项目概述</w:t>
      </w:r>
      <w:bookmarkEnd w:id="1"/>
      <w:bookmarkEnd w:id="2"/>
    </w:p>
    <w:p>
      <w:pPr>
        <w:pStyle w:val="30"/>
        <w:spacing w:line="360" w:lineRule="auto"/>
        <w:ind w:firstLine="480" w:firstLineChars="200"/>
        <w:rPr>
          <w:rFonts w:ascii="宋体" w:hAnsi="宋体"/>
          <w:sz w:val="24"/>
        </w:rPr>
      </w:pPr>
      <w:r>
        <w:rPr>
          <w:rFonts w:hint="eastAsia" w:ascii="宋体" w:hAnsi="宋体"/>
          <w:sz w:val="24"/>
        </w:rPr>
        <w:t xml:space="preserve">1.采购标的一览表 </w:t>
      </w:r>
    </w:p>
    <w:p>
      <w:pPr>
        <w:spacing w:line="360" w:lineRule="auto"/>
        <w:jc w:val="right"/>
        <w:rPr>
          <w:rFonts w:ascii="宋体" w:hAnsi="宋体"/>
          <w:sz w:val="24"/>
        </w:rPr>
      </w:pPr>
      <w:r>
        <w:rPr>
          <w:rFonts w:hint="eastAsia" w:ascii="宋体" w:hAnsi="宋体"/>
          <w:sz w:val="24"/>
        </w:rPr>
        <w:t xml:space="preserve"> 金额单位：人民币元</w:t>
      </w:r>
    </w:p>
    <w:tbl>
      <w:tblPr>
        <w:tblStyle w:val="21"/>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400"/>
        <w:gridCol w:w="2235"/>
        <w:gridCol w:w="1155"/>
        <w:gridCol w:w="1395"/>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品目号</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货物名称</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szCs w:val="22"/>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是否允许进口</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单价最高限价</w:t>
            </w:r>
          </w:p>
        </w:tc>
        <w:tc>
          <w:tcPr>
            <w:tcW w:w="13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1-1</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和韵合唱团音响设备</w:t>
            </w:r>
          </w:p>
        </w:tc>
        <w:tc>
          <w:tcPr>
            <w:tcW w:w="2235"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hint="eastAsia" w:ascii="宋体" w:hAnsi="宋体" w:cs="新宋体"/>
                <w:kern w:val="0"/>
                <w:sz w:val="24"/>
              </w:rPr>
              <w:t>1批</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否</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hint="eastAsia" w:ascii="宋体" w:hAnsi="宋体" w:cs="新宋体"/>
                <w:kern w:val="0"/>
                <w:sz w:val="24"/>
              </w:rPr>
              <w:t>28700</w:t>
            </w:r>
          </w:p>
        </w:tc>
        <w:tc>
          <w:tcPr>
            <w:tcW w:w="1394"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hint="eastAsia" w:ascii="宋体" w:hAnsi="宋体" w:cs="新宋体"/>
                <w:kern w:val="0"/>
                <w:sz w:val="24"/>
              </w:rPr>
              <w:t>28700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4"/>
              </w:rPr>
            </w:pPr>
            <w:r>
              <w:rPr>
                <w:rFonts w:hint="eastAsia" w:ascii="宋体" w:hAnsi="宋体"/>
                <w:kern w:val="0"/>
                <w:sz w:val="24"/>
              </w:rPr>
              <w:t>合计(大写)：人民币贰万捌仟柒佰元</w:t>
            </w:r>
          </w:p>
        </w:tc>
        <w:tc>
          <w:tcPr>
            <w:tcW w:w="39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4"/>
              </w:rPr>
            </w:pPr>
            <w:r>
              <w:rPr>
                <w:rFonts w:hint="eastAsia" w:ascii="宋体" w:hAnsi="宋体"/>
                <w:kern w:val="0"/>
                <w:sz w:val="24"/>
              </w:rPr>
              <w:t>¥</w:t>
            </w:r>
            <w:r>
              <w:rPr>
                <w:rFonts w:hint="eastAsia" w:ascii="宋体" w:hAnsi="宋体" w:cs="新宋体"/>
                <w:kern w:val="0"/>
                <w:sz w:val="24"/>
              </w:rPr>
              <w:t xml:space="preserve"> 28700.00  </w:t>
            </w:r>
          </w:p>
        </w:tc>
      </w:tr>
    </w:tbl>
    <w:p>
      <w:pPr>
        <w:pStyle w:val="4"/>
        <w:spacing w:beforeAutospacing="0" w:afterAutospacing="0" w:line="360" w:lineRule="auto"/>
        <w:ind w:firstLine="480" w:firstLineChars="200"/>
        <w:rPr>
          <w:rFonts w:cs="宋体"/>
          <w:b w:val="0"/>
          <w:sz w:val="24"/>
          <w:szCs w:val="24"/>
        </w:rPr>
      </w:pPr>
      <w:r>
        <w:rPr>
          <w:rFonts w:hint="eastAsia" w:cs="宋体"/>
          <w:b w:val="0"/>
          <w:sz w:val="24"/>
          <w:szCs w:val="24"/>
        </w:rPr>
        <w:t>2.本项目合同包成交候选人数量：1名。</w:t>
      </w:r>
    </w:p>
    <w:p>
      <w:pPr>
        <w:pStyle w:val="4"/>
        <w:spacing w:beforeAutospacing="0" w:afterAutospacing="0" w:line="360" w:lineRule="auto"/>
        <w:ind w:firstLine="480" w:firstLineChars="200"/>
        <w:rPr>
          <w:rFonts w:cs="宋体"/>
          <w:b w:val="0"/>
          <w:bCs/>
          <w:sz w:val="24"/>
        </w:rPr>
      </w:pPr>
      <w:r>
        <w:rPr>
          <w:rFonts w:hint="eastAsia" w:cs="宋体"/>
          <w:b w:val="0"/>
          <w:bCs/>
          <w:sz w:val="24"/>
        </w:rPr>
        <w:t>3.本项目为和韵合唱团音响设备采购项目，预算金额28700元。要求供应商根据本网上竞价文件提出的技术要求对所需货物及技术服务等进行报价。</w:t>
      </w:r>
    </w:p>
    <w:p>
      <w:pPr>
        <w:snapToGrid w:val="0"/>
        <w:spacing w:line="360" w:lineRule="auto"/>
        <w:ind w:firstLine="480" w:firstLineChars="200"/>
        <w:jc w:val="left"/>
        <w:rPr>
          <w:rFonts w:ascii="宋体" w:hAnsi="宋体" w:cs="宋体"/>
          <w:sz w:val="24"/>
        </w:rPr>
      </w:pPr>
      <w:r>
        <w:rPr>
          <w:rFonts w:hint="eastAsia" w:ascii="宋体" w:hAnsi="宋体" w:cs="宋体"/>
          <w:sz w:val="24"/>
        </w:rPr>
        <w:t>4.供应商应严格遵照</w:t>
      </w:r>
      <w:r>
        <w:rPr>
          <w:rFonts w:hint="eastAsia" w:ascii="宋体" w:hAnsi="宋体" w:cs="宋体"/>
          <w:bCs/>
          <w:sz w:val="24"/>
        </w:rPr>
        <w:t>本网上竞价文件</w:t>
      </w:r>
      <w:r>
        <w:rPr>
          <w:rFonts w:hint="eastAsia" w:ascii="宋体" w:hAnsi="宋体" w:cs="宋体"/>
          <w:sz w:val="24"/>
        </w:rPr>
        <w:t>中所涉及的技术要求和规范，供应商可以比</w:t>
      </w:r>
      <w:r>
        <w:rPr>
          <w:rFonts w:hint="eastAsia" w:ascii="宋体" w:hAnsi="宋体" w:cs="宋体"/>
          <w:bCs/>
          <w:sz w:val="24"/>
        </w:rPr>
        <w:t>本网上竞价文件</w:t>
      </w:r>
      <w:r>
        <w:rPr>
          <w:rFonts w:hint="eastAsia" w:ascii="宋体" w:hAnsi="宋体" w:cs="宋体"/>
          <w:sz w:val="24"/>
        </w:rPr>
        <w:t>技术要求更高和性能要求更好的产品参加报价，并列出详细技术参数偏离表。本项目不允许负偏离。</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rPr>
        <w:t>各供应商响应报价不得超过总价</w:t>
      </w:r>
      <w:r>
        <w:rPr>
          <w:rFonts w:hint="eastAsia" w:ascii="宋体" w:hAnsi="宋体" w:cs="宋体"/>
          <w:sz w:val="24"/>
        </w:rPr>
        <w:t>最高限价，供应商应以包括有关本项目的所有费用进行报价，应包括但不限于项目执行所应配附属配件以及产品制造、运输、保险、安装、调试、保修、技术服务、安全保障等费用。本项目所发生的一切费用均包含在报价中，如有遗漏，由供应商自行补充，一旦成交视为供应商认同遗漏部分并免费提供。采购人不再进行任何增补。合同金额为成交报价金额。</w:t>
      </w:r>
    </w:p>
    <w:p>
      <w:pPr>
        <w:spacing w:line="360" w:lineRule="auto"/>
        <w:rPr>
          <w:rFonts w:ascii="宋体" w:hAnsi="宋体" w:cs="宋体"/>
          <w:b/>
          <w:bCs/>
          <w:sz w:val="24"/>
        </w:rPr>
      </w:pPr>
      <w:r>
        <w:rPr>
          <w:rFonts w:hint="eastAsia" w:ascii="宋体" w:hAnsi="宋体" w:cs="宋体"/>
          <w:b/>
          <w:bCs/>
          <w:sz w:val="24"/>
        </w:rPr>
        <w:t>二、技术和服务要求</w:t>
      </w:r>
      <w:r>
        <w:rPr>
          <w:b/>
          <w:sz w:val="24"/>
        </w:rPr>
        <w:t>（下述所有要求均为不允许偏离的实质性要求，若负偏离则按无效报价处理。）</w:t>
      </w:r>
    </w:p>
    <w:tbl>
      <w:tblPr>
        <w:tblStyle w:val="21"/>
        <w:tblW w:w="4996" w:type="pct"/>
        <w:tblInd w:w="0" w:type="dxa"/>
        <w:tblLayout w:type="autofit"/>
        <w:tblCellMar>
          <w:top w:w="0" w:type="dxa"/>
          <w:left w:w="108" w:type="dxa"/>
          <w:bottom w:w="0" w:type="dxa"/>
          <w:right w:w="108" w:type="dxa"/>
        </w:tblCellMar>
      </w:tblPr>
      <w:tblGrid>
        <w:gridCol w:w="935"/>
        <w:gridCol w:w="1625"/>
        <w:gridCol w:w="5213"/>
        <w:gridCol w:w="732"/>
        <w:gridCol w:w="776"/>
      </w:tblGrid>
      <w:tr>
        <w:tblPrEx>
          <w:tblCellMar>
            <w:top w:w="0" w:type="dxa"/>
            <w:left w:w="108" w:type="dxa"/>
            <w:bottom w:w="0" w:type="dxa"/>
            <w:right w:w="108" w:type="dxa"/>
          </w:tblCellMar>
        </w:tblPrEx>
        <w:trPr>
          <w:trHeight w:val="23"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物资（服务）名称</w:t>
            </w:r>
          </w:p>
        </w:tc>
        <w:tc>
          <w:tcPr>
            <w:tcW w:w="2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技术标准（除下列注明“≥、≤”等尺寸范围的，其他涉及的固定数值均允许偏离±3%）</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单位</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数量</w:t>
            </w:r>
          </w:p>
        </w:tc>
      </w:tr>
      <w:tr>
        <w:tblPrEx>
          <w:tblCellMar>
            <w:top w:w="0" w:type="dxa"/>
            <w:left w:w="108" w:type="dxa"/>
            <w:bottom w:w="0" w:type="dxa"/>
            <w:right w:w="108" w:type="dxa"/>
          </w:tblCellMar>
        </w:tblPrEx>
        <w:trPr>
          <w:trHeight w:val="23"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15"音箱</w:t>
            </w:r>
          </w:p>
        </w:tc>
        <w:tc>
          <w:tcPr>
            <w:tcW w:w="2807" w:type="pct"/>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ascii="宋体" w:hAnsi="宋体" w:cs="宋体"/>
                <w:color w:val="000000"/>
                <w:kern w:val="0"/>
                <w:sz w:val="24"/>
                <w:lang w:bidi="ar"/>
              </w:rPr>
            </w:pPr>
            <w:r>
              <w:rPr>
                <w:rFonts w:hint="eastAsia" w:ascii="宋体" w:hAnsi="宋体" w:cs="宋体"/>
                <w:color w:val="000000"/>
                <w:kern w:val="0"/>
                <w:sz w:val="24"/>
                <w:lang w:bidi="ar"/>
              </w:rPr>
              <w:t>（1）二分频音箱频率响应（±3dB）46HZ-20KHZ；</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（2）低音单元：≥15INx1 75芯/190磁；</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（3）高音单元:≥3 INx1 75芯/170磁；</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（4）输入阻抗:≤8ohms；</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（5）灵敏度(1w@1m):≥102dB spl；</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（6）声压级:≥129dB,最大声压级SPL:≥135dB；</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（7）额定功率:≥600w；</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（8）节目功率:≥1200w；</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（9）峰值功率:≥2400w；</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（10）指向性(HxV):≥90°x≥70°</w:t>
            </w:r>
            <w:r>
              <w:rPr>
                <w:rFonts w:hint="eastAsia" w:ascii="宋体" w:hAnsi="宋体" w:cs="宋体"/>
                <w:color w:val="000000"/>
                <w:kern w:val="0"/>
                <w:sz w:val="24"/>
                <w:lang w:eastAsia="zh-CN" w:bidi="ar"/>
              </w:rPr>
              <w:t>。</w:t>
            </w:r>
          </w:p>
        </w:tc>
        <w:tc>
          <w:tcPr>
            <w:tcW w:w="394" w:type="pct"/>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只</w:t>
            </w:r>
          </w:p>
        </w:tc>
      </w:tr>
      <w:tr>
        <w:tblPrEx>
          <w:tblCellMar>
            <w:top w:w="0" w:type="dxa"/>
            <w:left w:w="108" w:type="dxa"/>
            <w:bottom w:w="0" w:type="dxa"/>
            <w:right w:w="108" w:type="dxa"/>
          </w:tblCellMar>
        </w:tblPrEx>
        <w:trPr>
          <w:trHeight w:val="23"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主扩两通道功放</w:t>
            </w:r>
          </w:p>
        </w:tc>
        <w:tc>
          <w:tcPr>
            <w:tcW w:w="2807" w:type="pct"/>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ascii="宋体" w:hAnsi="宋体" w:cs="宋体"/>
                <w:color w:val="000000"/>
                <w:kern w:val="0"/>
                <w:sz w:val="24"/>
                <w:lang w:bidi="ar"/>
              </w:rPr>
            </w:pPr>
            <w:r>
              <w:rPr>
                <w:rFonts w:hint="eastAsia" w:ascii="宋体" w:hAnsi="宋体" w:cs="宋体"/>
                <w:color w:val="000000"/>
                <w:kern w:val="0"/>
                <w:sz w:val="24"/>
                <w:lang w:bidi="ar"/>
              </w:rPr>
              <w:t>二通道专业功放</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（1）立体声:≥8Ω2*800W，≥4Ω2*1500W；</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（2）桥接:≥8Ω3000W；</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（3）信噪比(A计权):≤107dB；</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（4）频率响应:20HZ-22KHZ+0，-0.3dB@1W  into 8Ω；</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（5）输入阻抗:≤20KΩ平衡输入,≤10KΩ非平衡输入；</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（6）阻尼系数:＞500:1；</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（7）谐波失真:≤0.01％Rated Power@8Ω 1KHZ；</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（8）输入灵敏度:≥0.775V 。</w:t>
            </w:r>
          </w:p>
        </w:tc>
        <w:tc>
          <w:tcPr>
            <w:tcW w:w="394" w:type="pct"/>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tblPrEx>
          <w:tblCellMar>
            <w:top w:w="0" w:type="dxa"/>
            <w:left w:w="108" w:type="dxa"/>
            <w:bottom w:w="0" w:type="dxa"/>
            <w:right w:w="108" w:type="dxa"/>
          </w:tblCellMar>
        </w:tblPrEx>
        <w:trPr>
          <w:trHeight w:val="23"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K系列卡拉OK前级处理器</w:t>
            </w:r>
          </w:p>
        </w:tc>
        <w:tc>
          <w:tcPr>
            <w:tcW w:w="2807" w:type="pct"/>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ascii="宋体" w:hAnsi="宋体" w:cs="宋体"/>
                <w:color w:val="000000"/>
                <w:kern w:val="0"/>
                <w:sz w:val="24"/>
                <w:lang w:bidi="ar"/>
              </w:rPr>
            </w:pPr>
            <w:r>
              <w:rPr>
                <w:rFonts w:hint="eastAsia" w:ascii="宋体" w:hAnsi="宋体" w:cs="宋体"/>
                <w:color w:val="000000"/>
                <w:kern w:val="0"/>
                <w:sz w:val="24"/>
                <w:lang w:bidi="ar"/>
              </w:rPr>
              <w:t>（1）频率范围 20Hz-20KHz；</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（2）信噪比(平直位置)≥90dB；</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（3）通道分离度 ≥45dB；</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（4）失真 ≤0.01；</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（5）音频输入灵敏度:≤500mV；</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（6）最大输出：≥4Vpp；</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（7）线路输入阻抗：＞10KΩ。</w:t>
            </w:r>
          </w:p>
        </w:tc>
        <w:tc>
          <w:tcPr>
            <w:tcW w:w="394" w:type="pct"/>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tblPrEx>
          <w:tblCellMar>
            <w:top w:w="0" w:type="dxa"/>
            <w:left w:w="108" w:type="dxa"/>
            <w:bottom w:w="0" w:type="dxa"/>
            <w:right w:w="108" w:type="dxa"/>
          </w:tblCellMar>
        </w:tblPrEx>
        <w:trPr>
          <w:trHeight w:val="23"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真分集无线话筒</w:t>
            </w:r>
          </w:p>
        </w:tc>
        <w:tc>
          <w:tcPr>
            <w:tcW w:w="2807" w:type="pct"/>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（1）频率范围: 640-690MHz；</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（2）调制方式: 宽带FM；</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（3）可调范围:≥ 50MHz；</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（4）信道数目: ≥100；</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（5）信道间隔: ≥250KHz；</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（6）频率稳定度:±0.005%；</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（7）动态范围:≥100dB；</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（8）最大频偏：±45KHZ；</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（9）音频响应: 80Hz-18KHz(±3dB)；</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（10）综合信噪比:&gt;105 dB；</w:t>
            </w:r>
          </w:p>
          <w:p>
            <w:pPr>
              <w:widowControl/>
              <w:spacing w:line="360" w:lineRule="auto"/>
              <w:jc w:val="left"/>
              <w:textAlignment w:val="top"/>
              <w:rPr>
                <w:rFonts w:hint="eastAsia" w:ascii="宋体" w:hAnsi="宋体" w:eastAsia="宋体" w:cs="宋体"/>
                <w:color w:val="000000"/>
                <w:sz w:val="24"/>
                <w:lang w:eastAsia="zh-CN"/>
              </w:rPr>
            </w:pPr>
            <w:r>
              <w:rPr>
                <w:rFonts w:hint="eastAsia" w:ascii="宋体" w:hAnsi="宋体" w:cs="宋体"/>
                <w:color w:val="000000"/>
                <w:kern w:val="0"/>
                <w:sz w:val="24"/>
                <w:lang w:bidi="ar"/>
              </w:rPr>
              <w:t>（11）综合失真: ≤0.5%</w:t>
            </w:r>
            <w:r>
              <w:rPr>
                <w:rFonts w:hint="eastAsia" w:ascii="宋体" w:hAnsi="宋体" w:cs="宋体"/>
                <w:color w:val="000000"/>
                <w:kern w:val="0"/>
                <w:sz w:val="24"/>
                <w:lang w:eastAsia="zh-CN" w:bidi="ar"/>
              </w:rPr>
              <w:t>。</w:t>
            </w:r>
          </w:p>
        </w:tc>
        <w:tc>
          <w:tcPr>
            <w:tcW w:w="394" w:type="pct"/>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套</w:t>
            </w:r>
          </w:p>
        </w:tc>
      </w:tr>
      <w:tr>
        <w:tblPrEx>
          <w:tblCellMar>
            <w:top w:w="0" w:type="dxa"/>
            <w:left w:w="108" w:type="dxa"/>
            <w:bottom w:w="0" w:type="dxa"/>
            <w:right w:w="108" w:type="dxa"/>
          </w:tblCellMar>
        </w:tblPrEx>
        <w:trPr>
          <w:trHeight w:val="23"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电源时序器</w:t>
            </w:r>
          </w:p>
        </w:tc>
        <w:tc>
          <w:tcPr>
            <w:tcW w:w="2807" w:type="pct"/>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ascii="宋体" w:hAnsi="宋体" w:cs="宋体"/>
                <w:color w:val="000000"/>
                <w:kern w:val="0"/>
                <w:sz w:val="24"/>
                <w:lang w:bidi="ar"/>
              </w:rPr>
            </w:pPr>
            <w:r>
              <w:rPr>
                <w:rFonts w:hint="eastAsia" w:ascii="宋体" w:hAnsi="宋体" w:cs="宋体"/>
                <w:color w:val="000000"/>
                <w:kern w:val="0"/>
                <w:sz w:val="24"/>
                <w:lang w:bidi="ar"/>
              </w:rPr>
              <w:t>（1）面板颜色:铝黑色；</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（2）通道数里:≥ 8路万用插座维电器受控与≥2路万用插座直通；</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（3）单路功率/总功率/输出电流: ≥2000W/ ≥6000W/≥30A 277VAC；</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（4）输出电源插座规格:阻燃ABS材料，最大可承受不少于13A电流磷铜材质，标准万用插座；</w:t>
            </w:r>
          </w:p>
          <w:p>
            <w:pPr>
              <w:widowControl/>
              <w:spacing w:line="360" w:lineRule="auto"/>
              <w:jc w:val="left"/>
              <w:textAlignment w:val="top"/>
              <w:rPr>
                <w:rFonts w:hint="eastAsia" w:ascii="宋体" w:hAnsi="宋体" w:eastAsia="宋体" w:cs="宋体"/>
                <w:color w:val="000000"/>
                <w:sz w:val="24"/>
                <w:lang w:eastAsia="zh-CN"/>
              </w:rPr>
            </w:pPr>
            <w:r>
              <w:rPr>
                <w:rFonts w:hint="eastAsia" w:ascii="宋体" w:hAnsi="宋体" w:cs="宋体"/>
                <w:color w:val="000000"/>
                <w:kern w:val="0"/>
                <w:sz w:val="24"/>
                <w:lang w:bidi="ar"/>
              </w:rPr>
              <w:t>（5）主电缆线规格:不少于 3*4平方电缆，总长度为不少于1米</w:t>
            </w:r>
            <w:r>
              <w:rPr>
                <w:rFonts w:hint="eastAsia" w:ascii="宋体" w:hAnsi="宋体" w:cs="宋体"/>
                <w:color w:val="000000"/>
                <w:kern w:val="0"/>
                <w:sz w:val="24"/>
                <w:lang w:eastAsia="zh-CN" w:bidi="ar"/>
              </w:rPr>
              <w:t>。</w:t>
            </w:r>
          </w:p>
        </w:tc>
        <w:tc>
          <w:tcPr>
            <w:tcW w:w="394" w:type="pct"/>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tblPrEx>
          <w:tblCellMar>
            <w:top w:w="0" w:type="dxa"/>
            <w:left w:w="108" w:type="dxa"/>
            <w:bottom w:w="0" w:type="dxa"/>
            <w:right w:w="108" w:type="dxa"/>
          </w:tblCellMar>
        </w:tblPrEx>
        <w:trPr>
          <w:trHeight w:val="23"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大合唱话筒</w:t>
            </w:r>
          </w:p>
        </w:tc>
        <w:tc>
          <w:tcPr>
            <w:tcW w:w="2807" w:type="pct"/>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（1）咪芯：心型指向,适合演出合唱，细节约丰富；</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（2）灵敏度：－52 dB ± 1.6dB at 1kHz (0dB=1V/Pa)；</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（3）电源：8-50V幻象电源, 电流约1.8mA；</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（4）谐波失真：THD≤ 0.7 %/1KHz；</w:t>
            </w:r>
          </w:p>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（5）声压级：≥94dB/SPL；</w:t>
            </w:r>
          </w:p>
          <w:p>
            <w:pPr>
              <w:widowControl/>
              <w:spacing w:line="360" w:lineRule="auto"/>
              <w:jc w:val="left"/>
              <w:textAlignment w:val="top"/>
              <w:rPr>
                <w:rFonts w:hint="eastAsia" w:ascii="宋体" w:hAnsi="宋体" w:eastAsia="宋体" w:cs="宋体"/>
                <w:color w:val="000000"/>
                <w:sz w:val="24"/>
                <w:lang w:eastAsia="zh-CN"/>
              </w:rPr>
            </w:pPr>
            <w:r>
              <w:rPr>
                <w:rFonts w:hint="eastAsia" w:ascii="宋体" w:hAnsi="宋体" w:cs="宋体"/>
                <w:color w:val="000000"/>
                <w:kern w:val="0"/>
                <w:sz w:val="24"/>
                <w:lang w:bidi="ar"/>
              </w:rPr>
              <w:t>（</w:t>
            </w:r>
            <w:r>
              <w:rPr>
                <w:rFonts w:hint="eastAsia" w:ascii="宋体" w:hAnsi="宋体" w:cs="宋体"/>
                <w:color w:val="000000"/>
                <w:kern w:val="0"/>
                <w:sz w:val="24"/>
                <w:lang w:val="en-US" w:eastAsia="zh-CN" w:bidi="ar"/>
              </w:rPr>
              <w:t>6</w:t>
            </w:r>
            <w:r>
              <w:rPr>
                <w:rFonts w:hint="eastAsia" w:ascii="宋体" w:hAnsi="宋体" w:cs="宋体"/>
                <w:color w:val="000000"/>
                <w:kern w:val="0"/>
                <w:sz w:val="24"/>
                <w:lang w:bidi="ar"/>
              </w:rPr>
              <w:t>）信噪比：≥70.5dB(A); 1KHz@1Pa(94 dB APL)</w:t>
            </w:r>
            <w:r>
              <w:rPr>
                <w:rFonts w:hint="eastAsia" w:ascii="宋体" w:hAnsi="宋体" w:cs="宋体"/>
                <w:color w:val="000000"/>
                <w:kern w:val="0"/>
                <w:sz w:val="24"/>
                <w:lang w:eastAsia="zh-CN" w:bidi="ar"/>
              </w:rPr>
              <w:t>。</w:t>
            </w:r>
          </w:p>
        </w:tc>
        <w:tc>
          <w:tcPr>
            <w:tcW w:w="394" w:type="pct"/>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只</w:t>
            </w:r>
          </w:p>
        </w:tc>
      </w:tr>
      <w:tr>
        <w:tblPrEx>
          <w:tblCellMar>
            <w:top w:w="0" w:type="dxa"/>
            <w:left w:w="108" w:type="dxa"/>
            <w:bottom w:w="0" w:type="dxa"/>
            <w:right w:w="108" w:type="dxa"/>
          </w:tblCellMar>
        </w:tblPrEx>
        <w:trPr>
          <w:trHeight w:val="23"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支架</w:t>
            </w:r>
          </w:p>
        </w:tc>
        <w:tc>
          <w:tcPr>
            <w:tcW w:w="2807" w:type="pct"/>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固定音箱支架。</w:t>
            </w:r>
          </w:p>
        </w:tc>
        <w:tc>
          <w:tcPr>
            <w:tcW w:w="394" w:type="pct"/>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个</w:t>
            </w:r>
          </w:p>
        </w:tc>
      </w:tr>
      <w:tr>
        <w:tblPrEx>
          <w:tblCellMar>
            <w:top w:w="0" w:type="dxa"/>
            <w:left w:w="108" w:type="dxa"/>
            <w:bottom w:w="0" w:type="dxa"/>
            <w:right w:w="108" w:type="dxa"/>
          </w:tblCellMar>
        </w:tblPrEx>
        <w:trPr>
          <w:trHeight w:val="23"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话筒架</w:t>
            </w:r>
          </w:p>
        </w:tc>
        <w:tc>
          <w:tcPr>
            <w:tcW w:w="2807" w:type="pct"/>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固定大合唱话筒支架。</w:t>
            </w:r>
          </w:p>
        </w:tc>
        <w:tc>
          <w:tcPr>
            <w:tcW w:w="394" w:type="pct"/>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个</w:t>
            </w:r>
          </w:p>
        </w:tc>
      </w:tr>
      <w:tr>
        <w:tblPrEx>
          <w:tblCellMar>
            <w:top w:w="0" w:type="dxa"/>
            <w:left w:w="108" w:type="dxa"/>
            <w:bottom w:w="0" w:type="dxa"/>
            <w:right w:w="108" w:type="dxa"/>
          </w:tblCellMar>
        </w:tblPrEx>
        <w:trPr>
          <w:trHeight w:val="23"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航空机柜</w:t>
            </w:r>
          </w:p>
        </w:tc>
        <w:tc>
          <w:tcPr>
            <w:tcW w:w="2807" w:type="pct"/>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highlight w:val="none"/>
                <w:lang w:bidi="ar"/>
              </w:rPr>
              <w:t>不少于12U航</w:t>
            </w:r>
            <w:r>
              <w:rPr>
                <w:rFonts w:hint="eastAsia" w:ascii="宋体" w:hAnsi="宋体" w:cs="宋体"/>
                <w:color w:val="000000"/>
                <w:kern w:val="0"/>
                <w:sz w:val="24"/>
                <w:lang w:bidi="ar"/>
              </w:rPr>
              <w:t>空机柜</w:t>
            </w:r>
          </w:p>
        </w:tc>
        <w:tc>
          <w:tcPr>
            <w:tcW w:w="394" w:type="pct"/>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个</w:t>
            </w:r>
          </w:p>
        </w:tc>
      </w:tr>
      <w:tr>
        <w:tblPrEx>
          <w:tblCellMar>
            <w:top w:w="0" w:type="dxa"/>
            <w:left w:w="108" w:type="dxa"/>
            <w:bottom w:w="0" w:type="dxa"/>
            <w:right w:w="108" w:type="dxa"/>
          </w:tblCellMar>
        </w:tblPrEx>
        <w:trPr>
          <w:trHeight w:val="23"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辅材</w:t>
            </w:r>
          </w:p>
        </w:tc>
        <w:tc>
          <w:tcPr>
            <w:tcW w:w="2807" w:type="pct"/>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lang w:bidi="ar"/>
              </w:rPr>
              <w:t>线材、接插件、音频线等。</w:t>
            </w:r>
          </w:p>
        </w:tc>
        <w:tc>
          <w:tcPr>
            <w:tcW w:w="394" w:type="pct"/>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批</w:t>
            </w:r>
          </w:p>
        </w:tc>
      </w:tr>
      <w:tr>
        <w:tblPrEx>
          <w:tblCellMar>
            <w:top w:w="0" w:type="dxa"/>
            <w:left w:w="108" w:type="dxa"/>
            <w:bottom w:w="0" w:type="dxa"/>
            <w:right w:w="108" w:type="dxa"/>
          </w:tblCellMar>
        </w:tblPrEx>
        <w:trPr>
          <w:trHeight w:val="23"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安装调试费</w:t>
            </w:r>
          </w:p>
        </w:tc>
        <w:tc>
          <w:tcPr>
            <w:tcW w:w="2807" w:type="pct"/>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rPr>
                <w:rFonts w:ascii="宋体" w:hAnsi="宋体" w:cs="宋体"/>
                <w:color w:val="000000"/>
                <w:sz w:val="24"/>
              </w:rPr>
            </w:pPr>
            <w:r>
              <w:rPr>
                <w:rFonts w:hint="eastAsia" w:ascii="宋体" w:hAnsi="宋体" w:cs="宋体"/>
                <w:color w:val="000000"/>
                <w:sz w:val="24"/>
              </w:rPr>
              <w:t>/</w:t>
            </w:r>
          </w:p>
        </w:tc>
        <w:tc>
          <w:tcPr>
            <w:tcW w:w="394" w:type="pct"/>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项</w:t>
            </w:r>
          </w:p>
        </w:tc>
      </w:tr>
    </w:tbl>
    <w:p>
      <w:pPr>
        <w:widowControl/>
        <w:spacing w:line="360" w:lineRule="auto"/>
        <w:ind w:firstLine="482" w:firstLineChars="200"/>
        <w:jc w:val="left"/>
        <w:rPr>
          <w:rFonts w:ascii="宋体" w:hAnsi="宋体" w:cs="宋体"/>
          <w:b/>
          <w:bCs/>
          <w:kern w:val="0"/>
          <w:sz w:val="24"/>
        </w:rPr>
      </w:pPr>
    </w:p>
    <w:p>
      <w:pPr>
        <w:pStyle w:val="2"/>
      </w:pPr>
    </w:p>
    <w:p>
      <w:pPr>
        <w:widowControl/>
        <w:spacing w:line="360" w:lineRule="auto"/>
        <w:jc w:val="left"/>
        <w:rPr>
          <w:rFonts w:ascii="宋体" w:hAnsi="宋体" w:cs="宋体"/>
          <w:b/>
          <w:bCs/>
          <w:sz w:val="24"/>
        </w:rPr>
      </w:pPr>
      <w:r>
        <w:rPr>
          <w:rFonts w:hint="eastAsia" w:ascii="宋体" w:hAnsi="宋体" w:cs="宋体"/>
          <w:b/>
          <w:bCs/>
          <w:kern w:val="0"/>
          <w:sz w:val="24"/>
        </w:rPr>
        <w:t>三、商务要求</w:t>
      </w:r>
      <w:r>
        <w:rPr>
          <w:b/>
          <w:sz w:val="24"/>
        </w:rPr>
        <w:t>（下述所有要求均为不允许偏离的实质性要求，若负偏离则按无效报价处理。）</w:t>
      </w:r>
    </w:p>
    <w:p>
      <w:pPr>
        <w:pStyle w:val="9"/>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1.交付地点：采购人指定地点。</w:t>
      </w:r>
    </w:p>
    <w:p>
      <w:pPr>
        <w:pStyle w:val="9"/>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2.交付时间：合同签订后30天内交货完毕。</w:t>
      </w:r>
    </w:p>
    <w:p>
      <w:pPr>
        <w:pStyle w:val="9"/>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3.交付</w:t>
      </w:r>
      <w:r>
        <w:rPr>
          <w:rFonts w:hint="eastAsia" w:ascii="宋体" w:hAnsi="宋体" w:cs="宋体"/>
          <w:b/>
          <w:bCs/>
          <w:kern w:val="0"/>
          <w:sz w:val="24"/>
          <w:highlight w:val="none"/>
        </w:rPr>
        <w:t>条件：货物交</w:t>
      </w:r>
      <w:r>
        <w:rPr>
          <w:rFonts w:hint="eastAsia" w:ascii="宋体" w:hAnsi="宋体" w:cs="宋体"/>
          <w:b/>
          <w:bCs/>
          <w:kern w:val="0"/>
          <w:sz w:val="24"/>
        </w:rPr>
        <w:t>付并安装调试完毕，达到文件所有需求功能。</w:t>
      </w:r>
    </w:p>
    <w:p>
      <w:pPr>
        <w:pStyle w:val="9"/>
        <w:spacing w:after="0" w:line="360" w:lineRule="auto"/>
        <w:ind w:left="0" w:leftChars="0" w:firstLine="482" w:firstLineChars="200"/>
        <w:rPr>
          <w:rFonts w:ascii="宋体" w:hAnsi="宋体" w:cs="宋体"/>
          <w:b/>
          <w:bCs/>
          <w:sz w:val="24"/>
        </w:rPr>
      </w:pPr>
      <w:r>
        <w:rPr>
          <w:rFonts w:hint="eastAsia" w:ascii="宋体" w:hAnsi="宋体" w:cs="宋体"/>
          <w:b/>
          <w:bCs/>
          <w:kern w:val="0"/>
          <w:sz w:val="24"/>
        </w:rPr>
        <w:t>4.</w:t>
      </w:r>
      <w:r>
        <w:rPr>
          <w:rFonts w:hint="eastAsia" w:ascii="宋体" w:hAnsi="宋体" w:cs="宋体"/>
          <w:b/>
          <w:bCs/>
          <w:sz w:val="24"/>
        </w:rPr>
        <w:t>履约保证金：</w:t>
      </w:r>
    </w:p>
    <w:p>
      <w:pPr>
        <w:spacing w:line="360" w:lineRule="auto"/>
        <w:ind w:firstLine="718" w:firstLineChars="298"/>
        <w:jc w:val="left"/>
        <w:rPr>
          <w:rFonts w:ascii="宋体" w:hAnsi="宋体" w:cs="宋体"/>
          <w:kern w:val="0"/>
          <w:sz w:val="24"/>
        </w:rPr>
      </w:pPr>
      <w:r>
        <w:rPr>
          <w:rFonts w:hint="eastAsia" w:ascii="宋体" w:hAnsi="宋体" w:cs="宋体"/>
          <w:b/>
          <w:bCs/>
          <w:kern w:val="0"/>
          <w:sz w:val="24"/>
        </w:rPr>
        <w:t>履约保证金百分比：</w:t>
      </w:r>
      <w:r>
        <w:rPr>
          <w:rFonts w:hint="eastAsia" w:ascii="宋体" w:hAnsi="宋体" w:cs="宋体"/>
          <w:b/>
          <w:bCs/>
          <w:kern w:val="0"/>
          <w:sz w:val="24"/>
          <w:u w:val="single"/>
        </w:rPr>
        <w:t>4</w:t>
      </w:r>
      <w:r>
        <w:rPr>
          <w:rFonts w:hint="eastAsia" w:ascii="宋体" w:hAnsi="宋体" w:cs="宋体"/>
          <w:b/>
          <w:bCs/>
          <w:kern w:val="0"/>
          <w:sz w:val="24"/>
        </w:rPr>
        <w:t>%。说明：成交供应商在签订合同前，以转账、支票、银行无条件支付保函等非现金方式向采购人缴纳合同总金额</w:t>
      </w:r>
      <w:r>
        <w:rPr>
          <w:rFonts w:hint="eastAsia" w:ascii="宋体" w:hAnsi="宋体" w:cs="宋体"/>
          <w:b/>
          <w:bCs/>
          <w:kern w:val="0"/>
          <w:sz w:val="24"/>
          <w:u w:val="single"/>
        </w:rPr>
        <w:t xml:space="preserve"> 4 </w:t>
      </w:r>
      <w:r>
        <w:rPr>
          <w:rFonts w:hint="eastAsia" w:ascii="宋体" w:hAnsi="宋体" w:cs="宋体"/>
          <w:b/>
          <w:bCs/>
          <w:kern w:val="0"/>
          <w:sz w:val="24"/>
        </w:rPr>
        <w:t>%履约保证金。履约保证金在成交供应商履行完合同约定的全部事项（包含售后维保期）且双方无未了事项的前提下，采购人在收到成交供应商提交书面申请等材料后30日内无息退还。</w:t>
      </w:r>
      <w:r>
        <w:rPr>
          <w:rFonts w:ascii="宋体" w:hAnsi="宋体" w:cs="宋体"/>
          <w:kern w:val="0"/>
          <w:sz w:val="24"/>
        </w:rPr>
        <w:t xml:space="preserve"> </w:t>
      </w:r>
    </w:p>
    <w:p>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5.验收方式：按照国家相关标准、行业标准及网上竞价文件及合同要求执行。</w:t>
      </w:r>
    </w:p>
    <w:p>
      <w:pPr>
        <w:widowControl/>
        <w:tabs>
          <w:tab w:val="left" w:pos="900"/>
          <w:tab w:val="left" w:pos="1100"/>
        </w:tabs>
        <w:spacing w:line="360" w:lineRule="auto"/>
        <w:ind w:left="0" w:firstLine="482" w:firstLineChars="200"/>
        <w:textAlignment w:val="baseline"/>
        <w:rPr>
          <w:rFonts w:hAnsi="宋体" w:cs="宋体"/>
          <w:b/>
          <w:bCs/>
          <w:highlight w:val="none"/>
        </w:rPr>
      </w:pPr>
      <w:r>
        <w:rPr>
          <w:rFonts w:ascii="宋体" w:hAnsi="宋体" w:cs="宋体"/>
          <w:b/>
          <w:bCs/>
          <w:sz w:val="24"/>
          <w:highlight w:val="none"/>
        </w:rPr>
        <w:t>5.1成交供应商将货物在安装地安装完毕后，必须对所有货物的外观、各项性能参数进行自检，检验结果必须符合验收标准以及合同中相关条款要求，同时向采购人提供自检记录。</w:t>
      </w:r>
    </w:p>
    <w:p>
      <w:pPr>
        <w:widowControl/>
        <w:tabs>
          <w:tab w:val="left" w:pos="900"/>
          <w:tab w:val="left" w:pos="1100"/>
        </w:tabs>
        <w:spacing w:line="360" w:lineRule="auto"/>
        <w:ind w:left="0" w:firstLine="482" w:firstLineChars="200"/>
        <w:textAlignment w:val="baseline"/>
        <w:rPr>
          <w:rFonts w:hAnsi="宋体" w:cs="宋体"/>
          <w:b/>
          <w:bCs/>
          <w:highlight w:val="none"/>
        </w:rPr>
      </w:pPr>
      <w:r>
        <w:rPr>
          <w:rFonts w:ascii="宋体" w:hAnsi="宋体" w:cs="宋体"/>
          <w:b/>
          <w:bCs/>
          <w:sz w:val="24"/>
          <w:highlight w:val="none"/>
        </w:rPr>
        <w:t>5.2</w:t>
      </w:r>
      <w:r>
        <w:rPr>
          <w:rFonts w:hint="eastAsia" w:ascii="宋体" w:hAnsi="宋体" w:cs="宋体"/>
          <w:b/>
          <w:bCs/>
          <w:sz w:val="24"/>
          <w:highlight w:val="none"/>
        </w:rPr>
        <w:t>采购人按生产厂家的产品出厂检验标准、竞价文件以及国家和行业验收规范要求及合同中的相关条款进行数量及质量的验收。在此期间，若发现质量问题或与合同约定的不符，成交供应商应在接到采购人的通知后</w:t>
      </w:r>
      <w:r>
        <w:rPr>
          <w:rFonts w:ascii="宋体" w:hAnsi="宋体" w:cs="宋体"/>
          <w:b/>
          <w:bCs/>
          <w:sz w:val="24"/>
          <w:highlight w:val="none"/>
        </w:rPr>
        <w:t>15</w:t>
      </w:r>
      <w:r>
        <w:rPr>
          <w:rFonts w:hint="eastAsia" w:ascii="宋体" w:hAnsi="宋体" w:cs="宋体"/>
          <w:b/>
          <w:bCs/>
          <w:sz w:val="24"/>
          <w:highlight w:val="none"/>
        </w:rPr>
        <w:t>日内无条件免费更换，直至验收合格交付使用。</w:t>
      </w:r>
    </w:p>
    <w:p>
      <w:pPr>
        <w:widowControl/>
        <w:tabs>
          <w:tab w:val="left" w:pos="900"/>
          <w:tab w:val="left" w:pos="1100"/>
        </w:tabs>
        <w:spacing w:line="360" w:lineRule="auto"/>
        <w:ind w:left="482"/>
        <w:textAlignment w:val="baseline"/>
        <w:rPr>
          <w:rFonts w:hAnsi="宋体" w:cs="宋体"/>
          <w:b/>
          <w:bCs/>
          <w:highlight w:val="none"/>
        </w:rPr>
      </w:pPr>
      <w:r>
        <w:rPr>
          <w:rFonts w:ascii="宋体" w:hAnsi="宋体" w:cs="宋体"/>
          <w:b/>
          <w:bCs/>
          <w:sz w:val="24"/>
          <w:highlight w:val="none"/>
        </w:rPr>
        <w:t>5.3</w:t>
      </w:r>
      <w:r>
        <w:rPr>
          <w:rFonts w:hint="eastAsia" w:ascii="宋体" w:hAnsi="宋体" w:cs="宋体"/>
          <w:b/>
          <w:bCs/>
          <w:sz w:val="24"/>
          <w:highlight w:val="none"/>
        </w:rPr>
        <w:t>按竞价文件规定完成项目成并经采购人确认，无未了事项通过验收。</w:t>
      </w:r>
    </w:p>
    <w:p>
      <w:pPr>
        <w:widowControl/>
        <w:tabs>
          <w:tab w:val="left" w:pos="900"/>
          <w:tab w:val="left" w:pos="1100"/>
        </w:tabs>
        <w:spacing w:line="360" w:lineRule="auto"/>
        <w:ind w:firstLine="482" w:firstLineChars="200"/>
        <w:textAlignment w:val="baseline"/>
        <w:rPr>
          <w:rFonts w:hAnsi="宋体" w:cs="宋体"/>
          <w:b/>
          <w:bCs/>
        </w:rPr>
      </w:pPr>
      <w:r>
        <w:rPr>
          <w:rFonts w:ascii="宋体" w:hAnsi="宋体" w:cs="宋体"/>
          <w:b/>
          <w:bCs/>
          <w:sz w:val="24"/>
          <w:highlight w:val="none"/>
        </w:rPr>
        <w:t>5.4</w:t>
      </w:r>
      <w:r>
        <w:rPr>
          <w:rFonts w:hint="eastAsia" w:ascii="宋体" w:hAnsi="宋体" w:cs="宋体"/>
          <w:b/>
          <w:bCs/>
          <w:sz w:val="24"/>
          <w:highlight w:val="none"/>
        </w:rPr>
        <w:t>在验收时所发生的一切费用由成交供应商承担。</w:t>
      </w:r>
    </w:p>
    <w:p>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6.支付方式：货物全部进场且现场清点无误，满足网上竞价文件需求功能。成交供应商在采购人验收合格后30日内向采购人提交正式等额增值税普通发票等相关材料，采购人在收到成交供应商提交的发票等完整报销材料后支付合同金额的100%。</w:t>
      </w:r>
    </w:p>
    <w:p>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7.包装及运输</w:t>
      </w:r>
    </w:p>
    <w:p>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7.1货物包装及运输由成交供应商负责将货物按签订合同的具体数量、具体地点运送到最终目的地至验收合格交付采购人使用。</w:t>
      </w:r>
    </w:p>
    <w:p>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7.2货物包装必须与运输方式相适应，包装方式的确定及包装费用均由成交供应商负责；由于不适当的包装而造成货物在运输过程中有任何损坏由成交供应商负责。</w:t>
      </w:r>
    </w:p>
    <w:p>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8.售后服务</w:t>
      </w:r>
    </w:p>
    <w:p>
      <w:pPr>
        <w:widowControl/>
        <w:tabs>
          <w:tab w:val="left" w:pos="900"/>
          <w:tab w:val="left" w:pos="1100"/>
        </w:tabs>
        <w:spacing w:line="360" w:lineRule="auto"/>
        <w:ind w:firstLine="482" w:firstLineChars="200"/>
        <w:jc w:val="left"/>
        <w:textAlignment w:val="baseline"/>
        <w:rPr>
          <w:rFonts w:hint="eastAsia" w:ascii="宋体" w:hAnsi="宋体" w:cs="宋体"/>
          <w:b/>
          <w:bCs/>
          <w:sz w:val="24"/>
          <w:highlight w:val="none"/>
        </w:rPr>
      </w:pPr>
      <w:r>
        <w:rPr>
          <w:rFonts w:hint="eastAsia" w:ascii="宋体" w:hAnsi="宋体" w:cs="宋体"/>
          <w:b/>
          <w:bCs/>
          <w:sz w:val="24"/>
        </w:rPr>
        <w:t>8.1所投货物质量保证期二年。如其中一些货物厂家提供的质量保证期超过二年的,按厂家的标准执行。质量保证期自验收合格之日起计算。质量保证期内，非因使用不当</w:t>
      </w:r>
      <w:r>
        <w:rPr>
          <w:rFonts w:hint="eastAsia" w:ascii="宋体" w:hAnsi="宋体" w:cs="宋体"/>
          <w:b/>
          <w:bCs/>
          <w:sz w:val="24"/>
          <w:highlight w:val="none"/>
        </w:rPr>
        <w:t>造成要更换的零配件或修补的由成交人负责包修、包换。在质量保证期内，成交人在接到采购人故障说明后12小时内必须响应，48小时内做出响应解决方案。如故障在3个工作日内无法排除，成交人应提供备用品。</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rPr>
        <w:t>8.2在质量保证期内出现属货物质量问题，成交人应免费更换，更换的货物质量保证期从更换之日起相应顺延。</w:t>
      </w:r>
    </w:p>
    <w:p>
      <w:pPr>
        <w:widowControl/>
        <w:tabs>
          <w:tab w:val="left" w:pos="900"/>
          <w:tab w:val="left" w:pos="1100"/>
        </w:tabs>
        <w:spacing w:line="360" w:lineRule="auto"/>
        <w:ind w:firstLine="482" w:firstLineChars="200"/>
        <w:jc w:val="left"/>
        <w:textAlignment w:val="baseline"/>
        <w:rPr>
          <w:rFonts w:ascii="宋体" w:hAnsi="宋体"/>
          <w:sz w:val="24"/>
        </w:rPr>
      </w:pPr>
      <w:r>
        <w:rPr>
          <w:rFonts w:hint="eastAsia" w:ascii="宋体" w:hAnsi="宋体" w:cs="宋体"/>
          <w:b/>
          <w:bCs/>
          <w:sz w:val="24"/>
        </w:rPr>
        <w:t>9.违约责任：</w:t>
      </w:r>
    </w:p>
    <w:p>
      <w:pPr>
        <w:pStyle w:val="16"/>
        <w:spacing w:before="0" w:beforeAutospacing="0" w:after="0" w:afterAutospacing="0" w:line="360" w:lineRule="auto"/>
        <w:ind w:firstLine="480" w:firstLineChars="200"/>
        <w:rPr>
          <w:lang w:val="zh-TW"/>
        </w:rPr>
      </w:pPr>
      <w:r>
        <w:rPr>
          <w:rFonts w:hint="eastAsia"/>
          <w:lang w:val="zh-TW"/>
        </w:rPr>
        <w:t>（1）解除合同违约责任</w:t>
      </w:r>
    </w:p>
    <w:p>
      <w:pPr>
        <w:pStyle w:val="16"/>
        <w:spacing w:before="0" w:beforeAutospacing="0" w:after="0" w:afterAutospacing="0" w:line="360" w:lineRule="auto"/>
        <w:ind w:firstLine="480" w:firstLineChars="200"/>
        <w:rPr>
          <w:lang w:val="zh-TW"/>
        </w:rPr>
      </w:pPr>
      <w:r>
        <w:rPr>
          <w:rFonts w:hint="eastAsia"/>
          <w:lang w:val="zh-TW"/>
        </w:rPr>
        <w:t>签订合同后因成交供应商任何违约行为导致本合同无法正常继续履行或提前终止，采购人有权不予退还履约保证金。</w:t>
      </w:r>
    </w:p>
    <w:p>
      <w:pPr>
        <w:pStyle w:val="16"/>
        <w:spacing w:before="0" w:beforeAutospacing="0" w:after="0" w:afterAutospacing="0" w:line="360" w:lineRule="auto"/>
        <w:ind w:firstLine="480" w:firstLineChars="200"/>
        <w:rPr>
          <w:lang w:val="zh-TW"/>
        </w:rPr>
      </w:pPr>
      <w:r>
        <w:rPr>
          <w:rFonts w:hint="eastAsia"/>
          <w:lang w:val="zh-TW"/>
        </w:rPr>
        <w:t>（2）分包转包违约责任</w:t>
      </w:r>
    </w:p>
    <w:p>
      <w:pPr>
        <w:pStyle w:val="16"/>
        <w:spacing w:before="0" w:beforeAutospacing="0" w:after="0" w:afterAutospacing="0" w:line="360" w:lineRule="auto"/>
        <w:ind w:firstLine="480" w:firstLineChars="200"/>
        <w:rPr>
          <w:lang w:val="zh-TW"/>
        </w:rPr>
      </w:pPr>
      <w:r>
        <w:rPr>
          <w:rFonts w:hint="eastAsia"/>
          <w:lang w:val="zh-TW"/>
        </w:rPr>
        <w:t>成交供应商不得将本项目进行分包或转包，如发现经查实，采购人有权单方解除合同并不予退还履约保证金。</w:t>
      </w:r>
    </w:p>
    <w:p>
      <w:pPr>
        <w:pStyle w:val="16"/>
        <w:spacing w:before="0" w:beforeAutospacing="0" w:after="0" w:afterAutospacing="0" w:line="360" w:lineRule="auto"/>
        <w:ind w:firstLine="480" w:firstLineChars="200"/>
        <w:rPr>
          <w:lang w:val="zh-TW"/>
        </w:rPr>
      </w:pPr>
      <w:r>
        <w:rPr>
          <w:rFonts w:hint="eastAsia"/>
          <w:lang w:val="zh-TW"/>
        </w:rPr>
        <w:t>（3）进入监管区有关违约责任</w:t>
      </w:r>
    </w:p>
    <w:p>
      <w:pPr>
        <w:pStyle w:val="16"/>
        <w:spacing w:before="0" w:beforeAutospacing="0" w:after="0" w:afterAutospacing="0" w:line="360" w:lineRule="auto"/>
        <w:ind w:firstLine="480" w:firstLineChars="200"/>
        <w:rPr>
          <w:lang w:val="zh-TW"/>
        </w:rPr>
      </w:pPr>
      <w:r>
        <w:rPr>
          <w:rFonts w:hint="eastAsia"/>
          <w:lang w:val="zh-TW"/>
        </w:rPr>
        <w:t>成交供应商进入采购人监管区的工作人员必须遵守采购人的工作制度和监管安全规定，服从采购方人员的指挥。不得为罪犯传递信息、现金、手机、毒品、枪支、刀具等违禁品、违规品，若有发现经核查属实的，成交供应商须马上更换工作人员，并视情况向采购人支付5000元-10000元的违约金,情节严重的应承担相应的法律责任。发生二次（含）以上或造成严重后果的，采购人有权单方解除合同并不退还履约保证金。</w:t>
      </w:r>
    </w:p>
    <w:p>
      <w:pPr>
        <w:pStyle w:val="16"/>
        <w:spacing w:before="0" w:beforeAutospacing="0" w:after="0" w:afterAutospacing="0" w:line="360" w:lineRule="auto"/>
        <w:ind w:firstLine="480" w:firstLineChars="200"/>
        <w:rPr>
          <w:lang w:val="zh-TW"/>
        </w:rPr>
      </w:pPr>
      <w:r>
        <w:rPr>
          <w:rFonts w:hint="eastAsia"/>
          <w:lang w:val="zh-TW"/>
        </w:rPr>
        <w:t>（4）合同期内服务不到位相关违约责任</w:t>
      </w:r>
    </w:p>
    <w:p>
      <w:pPr>
        <w:pStyle w:val="16"/>
        <w:spacing w:before="0" w:beforeAutospacing="0" w:after="0" w:afterAutospacing="0" w:line="360" w:lineRule="auto"/>
        <w:ind w:firstLine="480" w:firstLineChars="200"/>
        <w:rPr>
          <w:lang w:val="zh-TW"/>
        </w:rPr>
      </w:pPr>
      <w:r>
        <w:rPr>
          <w:rFonts w:hint="eastAsia"/>
          <w:lang w:val="zh-TW"/>
        </w:rPr>
        <w:fldChar w:fldCharType="begin"/>
      </w:r>
      <w:r>
        <w:rPr>
          <w:rFonts w:hint="eastAsia"/>
          <w:lang w:val="zh-TW"/>
        </w:rPr>
        <w:instrText xml:space="preserve"> = 1 \* GB3 \* MERGEFORMAT </w:instrText>
      </w:r>
      <w:r>
        <w:rPr>
          <w:rFonts w:hint="eastAsia"/>
          <w:lang w:val="zh-TW"/>
        </w:rPr>
        <w:fldChar w:fldCharType="separate"/>
      </w:r>
      <w:r>
        <w:rPr>
          <w:rFonts w:hint="eastAsia"/>
          <w:lang w:val="zh-TW"/>
        </w:rPr>
        <w:t>①</w:t>
      </w:r>
      <w:r>
        <w:rPr>
          <w:rFonts w:hint="eastAsia"/>
          <w:lang w:val="zh-TW"/>
        </w:rPr>
        <w:fldChar w:fldCharType="end"/>
      </w:r>
      <w:r>
        <w:rPr>
          <w:rFonts w:hint="eastAsia"/>
          <w:lang w:val="zh-TW"/>
        </w:rPr>
        <w:t>未按期交货的违约责任</w:t>
      </w:r>
    </w:p>
    <w:p>
      <w:pPr>
        <w:pStyle w:val="16"/>
        <w:spacing w:before="0" w:beforeAutospacing="0" w:after="0" w:afterAutospacing="0" w:line="360" w:lineRule="auto"/>
        <w:ind w:firstLine="480" w:firstLineChars="200"/>
        <w:rPr>
          <w:lang w:val="zh-TW"/>
        </w:rPr>
      </w:pPr>
      <w:r>
        <w:rPr>
          <w:rFonts w:hint="eastAsia"/>
          <w:lang w:val="zh-TW"/>
        </w:rPr>
        <w:t>如果成交供应商未能按合同规定的时间按时交货（不可抗力除外）的，在成交供应商书面同意支付延期违约金的条件下，采购人有权选择同意延长期限还是不予延长期限，采购人同意延长期限的，延期的时间由双方另行确定。延期违约金的支付采购人有权从未付的合同货款中扣除。延期违约金为每逾期1天，按逾期1天支付采购人100元人民币违约金并继续履行应尽的配送或安装等相关服务。但是，延期违约金的支付总额不得超过合同金额的30％。</w:t>
      </w:r>
    </w:p>
    <w:p>
      <w:pPr>
        <w:pStyle w:val="16"/>
        <w:spacing w:before="0" w:beforeAutospacing="0" w:after="0" w:afterAutospacing="0" w:line="360" w:lineRule="auto"/>
        <w:ind w:firstLine="480" w:firstLineChars="200"/>
        <w:rPr>
          <w:lang w:val="zh-TW"/>
        </w:rPr>
      </w:pPr>
      <w:r>
        <w:rPr>
          <w:rFonts w:hint="eastAsia"/>
          <w:lang w:val="zh-TW"/>
        </w:rPr>
        <w:t>若成交供应商逾期交货或安装时间达10天（含10天）以上的，视为成交供应商不能交货，采购人有权单方解除本合同并不予退还履约保证金，成交供应商仍应按上述约定支付逾期违约金。若因此给采购人造成损失的，还应赔偿采购人所受的损失。</w:t>
      </w:r>
    </w:p>
    <w:p>
      <w:pPr>
        <w:pStyle w:val="16"/>
        <w:spacing w:before="0" w:beforeAutospacing="0" w:after="0" w:afterAutospacing="0" w:line="360" w:lineRule="auto"/>
        <w:ind w:firstLine="480" w:firstLineChars="200"/>
        <w:rPr>
          <w:lang w:val="zh-TW"/>
        </w:rPr>
      </w:pPr>
      <w:r>
        <w:rPr>
          <w:rFonts w:hint="eastAsia"/>
          <w:lang w:val="zh-TW"/>
        </w:rPr>
        <w:fldChar w:fldCharType="begin"/>
      </w:r>
      <w:r>
        <w:rPr>
          <w:rFonts w:hint="eastAsia"/>
          <w:lang w:val="zh-TW"/>
        </w:rPr>
        <w:instrText xml:space="preserve"> = 2 \* GB3 \* MERGEFORMAT </w:instrText>
      </w:r>
      <w:r>
        <w:rPr>
          <w:rFonts w:hint="eastAsia"/>
          <w:lang w:val="zh-TW"/>
        </w:rPr>
        <w:fldChar w:fldCharType="separate"/>
      </w:r>
      <w:r>
        <w:rPr>
          <w:rFonts w:hint="eastAsia"/>
          <w:lang w:val="zh-TW"/>
        </w:rPr>
        <w:t>②</w:t>
      </w:r>
      <w:r>
        <w:rPr>
          <w:rFonts w:hint="eastAsia"/>
          <w:lang w:val="zh-TW"/>
        </w:rPr>
        <w:fldChar w:fldCharType="end"/>
      </w:r>
      <w:r>
        <w:rPr>
          <w:rFonts w:hint="eastAsia"/>
          <w:lang w:val="zh-TW"/>
        </w:rPr>
        <w:t>成交供应商提供的产品质量不符合合同约定的，采购人有权拒收并要求更换为符合采购要求的产品，每发现一次，处违约金5000元，违约金直接从货款中扣除，因产品质量问题造成采购人或任何第三方损害的，成交供应商应承担一切损害赔偿、法律责任，采购人有权单方解除合同，不予退还成交供应商的履约保证金。</w:t>
      </w:r>
    </w:p>
    <w:p>
      <w:pPr>
        <w:pStyle w:val="16"/>
        <w:spacing w:before="0" w:beforeAutospacing="0" w:after="0" w:afterAutospacing="0" w:line="360" w:lineRule="auto"/>
        <w:ind w:firstLine="480" w:firstLineChars="200"/>
      </w:pPr>
      <w:r>
        <w:rPr>
          <w:rFonts w:hint="eastAsia"/>
          <w:lang w:val="zh-TW"/>
        </w:rPr>
        <w:t>③质量保证期内，成交供应商未按照合同约定或承诺的时间提供质保服务，每逾期一天，应支付采购人违约金100元，因成交供应商产品质量问题导致采购人人身或财产损失的，成交供应商应予以赔偿。</w:t>
      </w:r>
    </w:p>
    <w:p>
      <w:pPr>
        <w:pStyle w:val="16"/>
        <w:spacing w:before="0" w:beforeAutospacing="0" w:after="0" w:afterAutospacing="0" w:line="360" w:lineRule="auto"/>
        <w:ind w:firstLine="480" w:firstLineChars="200"/>
        <w:rPr>
          <w:lang w:val="zh-TW"/>
        </w:rPr>
      </w:pPr>
      <w:r>
        <w:rPr>
          <w:rFonts w:hint="eastAsia"/>
          <w:lang w:val="zh-TW"/>
        </w:rPr>
        <w:fldChar w:fldCharType="begin"/>
      </w:r>
      <w:r>
        <w:rPr>
          <w:rFonts w:hint="eastAsia"/>
          <w:lang w:val="zh-TW"/>
        </w:rPr>
        <w:instrText xml:space="preserve"> = 4 \* GB3 \* MERGEFORMAT </w:instrText>
      </w:r>
      <w:r>
        <w:rPr>
          <w:rFonts w:hint="eastAsia"/>
          <w:lang w:val="zh-TW"/>
        </w:rPr>
        <w:fldChar w:fldCharType="separate"/>
      </w:r>
      <w:r>
        <w:rPr>
          <w:rFonts w:hint="eastAsia"/>
          <w:lang w:val="zh-TW"/>
        </w:rPr>
        <w:t>④</w:t>
      </w:r>
      <w:r>
        <w:rPr>
          <w:rFonts w:hint="eastAsia"/>
          <w:lang w:val="zh-TW"/>
        </w:rPr>
        <w:fldChar w:fldCharType="end"/>
      </w:r>
      <w:r>
        <w:rPr>
          <w:rFonts w:hint="eastAsia"/>
          <w:lang w:val="zh-TW"/>
        </w:rPr>
        <w:t>成交供应商不能交货或不能完成合同的（不可抗力因素造成的除外），采购人有权单方面解除合同，且履约保证金不予退还。</w:t>
      </w:r>
    </w:p>
    <w:p>
      <w:pPr>
        <w:pStyle w:val="16"/>
        <w:spacing w:before="0" w:beforeAutospacing="0" w:after="0" w:afterAutospacing="0" w:line="360" w:lineRule="auto"/>
        <w:ind w:firstLine="480" w:firstLineChars="200"/>
        <w:rPr>
          <w:lang w:val="zh-TW"/>
        </w:rPr>
      </w:pPr>
      <w:r>
        <w:rPr>
          <w:rFonts w:hint="eastAsia"/>
          <w:lang w:val="zh-TW"/>
        </w:rPr>
        <w:t>（5）成交供应商应支付的违约金采购人可以直接从应付给成交供应商的费用中直接扣除。违约金不足以弥补给采购人造成的损失的，成交供应商还应承担相应的赔偿责任。</w:t>
      </w:r>
    </w:p>
    <w:p>
      <w:pPr>
        <w:pStyle w:val="16"/>
        <w:spacing w:before="0" w:beforeAutospacing="0" w:after="0" w:afterAutospacing="0" w:line="360" w:lineRule="auto"/>
        <w:ind w:firstLine="480" w:firstLineChars="200"/>
        <w:rPr>
          <w:lang w:val="zh-TW"/>
        </w:rPr>
      </w:pPr>
      <w:r>
        <w:rPr>
          <w:rFonts w:hint="eastAsia"/>
          <w:lang w:val="zh-TW"/>
        </w:rPr>
        <w:t>（6）履约保证金条款是一项独立的条款，不影响采购人向成交供应商主张本竞价文件中的其他违约金以及实际损失。</w:t>
      </w:r>
    </w:p>
    <w:p>
      <w:pPr>
        <w:pStyle w:val="16"/>
        <w:spacing w:before="0" w:beforeAutospacing="0" w:after="0" w:afterAutospacing="0" w:line="360" w:lineRule="auto"/>
        <w:ind w:firstLine="480" w:firstLineChars="200"/>
        <w:rPr>
          <w:lang w:val="zh-TW"/>
        </w:rPr>
      </w:pPr>
      <w:r>
        <w:rPr>
          <w:rFonts w:hint="eastAsia"/>
          <w:lang w:val="zh-TW"/>
        </w:rPr>
        <w:t>（7）因不可抗力因素造成违约的，遭受不可抗力一方应及时让对方知晓不能履行或不能完全履行的理由。基本于以上行为，允许遭受不可抗力一方延期履行、部分履行或者不能履行竞价文件条款，并根据情况可部分或全部分免于承担违约责任。</w:t>
      </w:r>
    </w:p>
    <w:p>
      <w:pPr>
        <w:pStyle w:val="16"/>
        <w:spacing w:before="0" w:beforeAutospacing="0" w:after="0" w:afterAutospacing="0" w:line="360" w:lineRule="auto"/>
        <w:ind w:firstLine="482" w:firstLineChars="200"/>
        <w:rPr>
          <w:b/>
          <w:bCs/>
          <w:lang w:val="zh-TW"/>
        </w:rPr>
      </w:pPr>
      <w:r>
        <w:rPr>
          <w:rFonts w:hint="eastAsia"/>
          <w:b/>
          <w:bCs/>
          <w:lang w:val="zh-TW"/>
        </w:rPr>
        <w:t>注：本条款不可抗力指不能预见、不能避免并不能克服的客观情况。包括但不限于：自然灾害（地震、台风、洪水、火灾）、政府行为、法律规定或其适用的变化，或者其他任何无法预见、避免（控制）的事件。</w:t>
      </w:r>
    </w:p>
    <w:p>
      <w:pPr>
        <w:pStyle w:val="16"/>
        <w:spacing w:before="0" w:beforeAutospacing="0" w:after="0" w:afterAutospacing="0" w:line="360" w:lineRule="auto"/>
        <w:ind w:firstLine="480" w:firstLineChars="200"/>
        <w:rPr>
          <w:lang w:val="zh-TW"/>
        </w:rPr>
      </w:pPr>
      <w:r>
        <w:rPr>
          <w:rFonts w:hint="eastAsia"/>
          <w:lang w:val="zh-TW"/>
        </w:rPr>
        <w:t>（</w:t>
      </w:r>
      <w:r>
        <w:rPr>
          <w:rFonts w:hint="eastAsia"/>
        </w:rPr>
        <w:t>8</w:t>
      </w:r>
      <w:r>
        <w:rPr>
          <w:rFonts w:hint="eastAsia"/>
          <w:lang w:val="zh-TW"/>
        </w:rPr>
        <w:t>）若因成交供应商未履行本合同项下义务导致采购人所产生的一切损失（包括但不限于人身财产的损失、律师费、诉讼费、保全费、鉴定费等），均由成交供应商承担违约和赔偿责任。</w:t>
      </w:r>
    </w:p>
    <w:p>
      <w:pPr>
        <w:pStyle w:val="16"/>
        <w:spacing w:before="0" w:beforeAutospacing="0" w:after="0" w:afterAutospacing="0" w:line="360" w:lineRule="auto"/>
        <w:ind w:firstLine="482" w:firstLineChars="200"/>
      </w:pPr>
      <w:r>
        <w:rPr>
          <w:rFonts w:hint="eastAsia"/>
          <w:b/>
          <w:bCs/>
        </w:rPr>
        <w:t>10</w:t>
      </w:r>
      <w:r>
        <w:rPr>
          <w:rStyle w:val="24"/>
          <w:rFonts w:hint="eastAsia"/>
        </w:rPr>
        <w:t>.诉讼相关费用承担：</w:t>
      </w:r>
    </w:p>
    <w:p>
      <w:pPr>
        <w:pStyle w:val="16"/>
        <w:spacing w:before="0" w:beforeAutospacing="0" w:after="0" w:afterAutospacing="0" w:line="360" w:lineRule="auto"/>
        <w:ind w:firstLine="480" w:firstLineChars="200"/>
      </w:pPr>
      <w:r>
        <w:rPr>
          <w:rFonts w:hint="eastAsia"/>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pPr>
        <w:pStyle w:val="16"/>
        <w:spacing w:before="0" w:beforeAutospacing="0" w:after="0" w:afterAutospacing="0" w:line="360" w:lineRule="auto"/>
        <w:ind w:firstLine="482" w:firstLineChars="200"/>
        <w:rPr>
          <w:b/>
          <w:bCs/>
        </w:rPr>
      </w:pPr>
      <w:r>
        <w:rPr>
          <w:rFonts w:hint="eastAsia"/>
          <w:b/>
          <w:bCs/>
        </w:rPr>
        <w:t>11.</w:t>
      </w:r>
      <w:r>
        <w:rPr>
          <w:rFonts w:hint="eastAsia"/>
          <w:b/>
          <w:bCs/>
          <w:lang w:val="zh-TW"/>
        </w:rPr>
        <w:t>不可抗力</w:t>
      </w:r>
      <w:r>
        <w:rPr>
          <w:rFonts w:hint="eastAsia"/>
          <w:b/>
          <w:bCs/>
        </w:rPr>
        <w:t>：</w:t>
      </w:r>
    </w:p>
    <w:p>
      <w:pPr>
        <w:pStyle w:val="16"/>
        <w:spacing w:before="0" w:beforeAutospacing="0" w:after="0" w:afterAutospacing="0" w:line="360" w:lineRule="auto"/>
        <w:ind w:firstLine="480" w:firstLineChars="200"/>
        <w:rPr>
          <w:lang w:val="zh-TW"/>
        </w:rPr>
      </w:pPr>
      <w:r>
        <w:rPr>
          <w:rFonts w:hint="eastAsia"/>
        </w:rPr>
        <w:t>（1）</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pPr>
      <w:r>
        <w:rPr>
          <w:rFonts w:hint="eastAsia"/>
        </w:rPr>
        <w:t>（2）</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2" w:firstLineChars="200"/>
        <w:rPr>
          <w:rStyle w:val="24"/>
        </w:rPr>
      </w:pPr>
      <w:r>
        <w:rPr>
          <w:rStyle w:val="24"/>
          <w:rFonts w:hint="eastAsia"/>
        </w:rPr>
        <w:t>12.专利权及知识产权：</w:t>
      </w:r>
    </w:p>
    <w:p>
      <w:pPr>
        <w:pStyle w:val="16"/>
        <w:spacing w:before="0" w:beforeAutospacing="0" w:after="0" w:afterAutospacing="0" w:line="360" w:lineRule="auto"/>
        <w:ind w:firstLine="480" w:firstLineChars="200"/>
        <w:rPr>
          <w:lang w:val="zh-TW"/>
        </w:rPr>
      </w:pPr>
      <w:r>
        <w:rPr>
          <w:rFonts w:hint="eastAsia"/>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rPr>
        <w:t>成交供应商</w:t>
      </w:r>
      <w:r>
        <w:rPr>
          <w:rFonts w:hint="eastAsia"/>
          <w:lang w:val="zh-TW"/>
        </w:rPr>
        <w:t>须与第三方交涉并承担可能发生的责任与一切费用。如采购人因此而遭致损失的，</w:t>
      </w:r>
      <w:r>
        <w:rPr>
          <w:rFonts w:hint="eastAsia"/>
        </w:rPr>
        <w:t>成交供应商</w:t>
      </w:r>
      <w:r>
        <w:rPr>
          <w:rFonts w:hint="eastAsia"/>
          <w:lang w:val="zh-TW"/>
        </w:rPr>
        <w:t>应赔偿该损失。</w:t>
      </w:r>
    </w:p>
    <w:p>
      <w:pPr>
        <w:pStyle w:val="16"/>
        <w:spacing w:before="0" w:beforeAutospacing="0" w:after="0" w:afterAutospacing="0" w:line="360" w:lineRule="auto"/>
        <w:ind w:firstLine="482" w:firstLineChars="200"/>
      </w:pPr>
      <w:r>
        <w:rPr>
          <w:rStyle w:val="24"/>
          <w:rFonts w:hint="eastAsia"/>
        </w:rPr>
        <w:t>13.保密条款：</w:t>
      </w:r>
    </w:p>
    <w:p>
      <w:pPr>
        <w:pStyle w:val="16"/>
        <w:spacing w:before="0" w:beforeAutospacing="0" w:after="0" w:afterAutospacing="0" w:line="360" w:lineRule="auto"/>
        <w:ind w:firstLine="480" w:firstLineChars="200"/>
      </w:pPr>
      <w:r>
        <w:rPr>
          <w:rFonts w:hint="eastAsia"/>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pPr>
        <w:pStyle w:val="16"/>
        <w:spacing w:before="0" w:beforeAutospacing="0" w:after="0" w:afterAutospacing="0" w:line="360" w:lineRule="auto"/>
        <w:ind w:firstLine="480" w:firstLineChars="200"/>
      </w:pPr>
      <w:r>
        <w:rPr>
          <w:rFonts w:hint="eastAsia"/>
        </w:rPr>
        <w:t>（2）成交供应商违反本条约定泄露采购人的涉密信息的，应承担相应的法律责任，造成采购人损失的，成交供应商应当依法承担赔偿责任。</w:t>
      </w:r>
    </w:p>
    <w:p>
      <w:pPr>
        <w:pStyle w:val="16"/>
        <w:spacing w:before="0" w:beforeAutospacing="0" w:after="0" w:afterAutospacing="0" w:line="360" w:lineRule="auto"/>
        <w:ind w:firstLine="480" w:firstLineChars="200"/>
        <w:rPr>
          <w:lang w:val="zh-TW"/>
        </w:rPr>
      </w:pPr>
      <w:r>
        <w:rPr>
          <w:rFonts w:hint="eastAsia"/>
        </w:rPr>
        <w:t>（3）本条款不因合同届满或解除而失效。</w:t>
      </w:r>
    </w:p>
    <w:p>
      <w:pPr>
        <w:pStyle w:val="16"/>
        <w:spacing w:before="0" w:beforeAutospacing="0" w:after="0" w:afterAutospacing="0" w:line="360" w:lineRule="auto"/>
        <w:ind w:firstLine="482" w:firstLineChars="200"/>
        <w:rPr>
          <w:b/>
          <w:bCs/>
        </w:rPr>
      </w:pPr>
      <w:r>
        <w:rPr>
          <w:rFonts w:hint="eastAsia"/>
          <w:b/>
          <w:bCs/>
        </w:rPr>
        <w:t>14.</w:t>
      </w:r>
      <w:r>
        <w:rPr>
          <w:rFonts w:hint="eastAsia"/>
          <w:b/>
          <w:bCs/>
          <w:lang w:val="zh-TW"/>
        </w:rPr>
        <w:t>廉政条款</w:t>
      </w:r>
    </w:p>
    <w:p>
      <w:pPr>
        <w:pStyle w:val="16"/>
        <w:spacing w:before="0" w:beforeAutospacing="0" w:after="0" w:afterAutospacing="0" w:line="360" w:lineRule="auto"/>
        <w:ind w:firstLine="480" w:firstLineChars="200"/>
        <w:rPr>
          <w:lang w:val="zh-TW"/>
        </w:rPr>
      </w:pPr>
      <w:r>
        <w:rPr>
          <w:rFonts w:hint="eastAsia"/>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6"/>
        <w:spacing w:before="0" w:beforeAutospacing="0" w:after="0" w:afterAutospacing="0" w:line="360" w:lineRule="auto"/>
        <w:ind w:firstLine="482" w:firstLineChars="200"/>
        <w:rPr>
          <w:b/>
          <w:bCs/>
        </w:rPr>
      </w:pPr>
      <w:r>
        <w:rPr>
          <w:rFonts w:hint="eastAsia"/>
          <w:b/>
          <w:bCs/>
        </w:rPr>
        <w:t>15.</w:t>
      </w:r>
      <w:r>
        <w:rPr>
          <w:rFonts w:hint="eastAsia"/>
          <w:b/>
          <w:bCs/>
          <w:lang w:val="zh-TW"/>
        </w:rPr>
        <w:t>合同纠纷处理方式</w:t>
      </w:r>
    </w:p>
    <w:p>
      <w:pPr>
        <w:pStyle w:val="16"/>
        <w:spacing w:before="0" w:beforeAutospacing="0" w:after="0" w:afterAutospacing="0" w:line="360" w:lineRule="auto"/>
        <w:ind w:firstLine="480" w:firstLineChars="200"/>
        <w:rPr>
          <w:lang w:val="zh-TW"/>
        </w:rPr>
      </w:pPr>
      <w:r>
        <w:rPr>
          <w:rFonts w:hint="eastAsia" w:ascii="Times New Roman" w:hAnsi="Times New Roman" w:cs="Times New Roman"/>
        </w:rPr>
        <w:t>（1）</w:t>
      </w:r>
      <w:r>
        <w:rPr>
          <w:rFonts w:ascii="Times New Roman" w:hAnsi="Times New Roman" w:cs="Times New Roman"/>
        </w:rPr>
        <w:t>采购人及</w:t>
      </w:r>
      <w:r>
        <w:rPr>
          <w:rFonts w:hint="eastAsia" w:ascii="Times New Roman" w:hAnsi="Times New Roman" w:cs="Times New Roman"/>
        </w:rPr>
        <w:t>成交供应商</w:t>
      </w:r>
      <w:r>
        <w:rPr>
          <w:rFonts w:hint="eastAsia"/>
          <w:lang w:val="zh-TW"/>
        </w:rPr>
        <w:t>双方必须认真履行合同条款。因本合同或与本合同有关的一切事项发生争议，由双方友好协商解决，协商不成的，任何一方均可向采购人所在地人民法院提起诉讼。</w:t>
      </w:r>
    </w:p>
    <w:p>
      <w:pPr>
        <w:pStyle w:val="16"/>
        <w:spacing w:before="0" w:beforeAutospacing="0" w:after="0" w:afterAutospacing="0" w:line="360" w:lineRule="auto"/>
        <w:ind w:firstLine="480" w:firstLineChars="200"/>
        <w:rPr>
          <w:b/>
          <w:bCs/>
          <w:u w:val="single"/>
        </w:rPr>
      </w:pPr>
      <w:r>
        <w:rPr>
          <w:rFonts w:hint="eastAsia"/>
        </w:rPr>
        <w:t>（2）</w:t>
      </w:r>
      <w:r>
        <w:rPr>
          <w:rFonts w:hint="eastAsia"/>
          <w:lang w:val="zh-TW"/>
        </w:rPr>
        <w:t>合同补充和修改：本合同生效后，双方对合同内容的变更或补充应采取书面形式，并经双方签字并盖章确认。</w:t>
      </w:r>
    </w:p>
    <w:p>
      <w:pPr>
        <w:widowControl/>
        <w:spacing w:line="360" w:lineRule="auto"/>
        <w:jc w:val="center"/>
        <w:rPr>
          <w:rFonts w:ascii="宋体" w:hAnsi="宋体"/>
          <w:b/>
          <w:bCs/>
          <w:sz w:val="36"/>
          <w:szCs w:val="36"/>
        </w:rPr>
      </w:pPr>
    </w:p>
    <w:p>
      <w:pPr>
        <w:widowControl/>
        <w:spacing w:line="360" w:lineRule="auto"/>
        <w:jc w:val="center"/>
        <w:rPr>
          <w:rFonts w:ascii="宋体" w:hAnsi="宋体"/>
          <w:b/>
          <w:bCs/>
          <w:sz w:val="36"/>
          <w:szCs w:val="36"/>
        </w:rPr>
      </w:pPr>
    </w:p>
    <w:p>
      <w:pPr>
        <w:widowControl/>
        <w:spacing w:line="240" w:lineRule="auto"/>
        <w:jc w:val="left"/>
        <w:rPr>
          <w:rFonts w:hint="eastAsia" w:ascii="宋体" w:hAnsi="宋体"/>
          <w:b/>
          <w:bCs/>
          <w:sz w:val="36"/>
          <w:szCs w:val="36"/>
        </w:rPr>
      </w:pPr>
      <w:r>
        <w:rPr>
          <w:rFonts w:hint="eastAsia" w:ascii="宋体" w:hAnsi="宋体"/>
          <w:b/>
          <w:bCs/>
          <w:sz w:val="36"/>
          <w:szCs w:val="36"/>
        </w:rPr>
        <w:br w:type="page"/>
      </w:r>
    </w:p>
    <w:p>
      <w:pPr>
        <w:widowControl/>
        <w:spacing w:line="360" w:lineRule="auto"/>
        <w:jc w:val="center"/>
        <w:rPr>
          <w:rFonts w:ascii="宋体" w:hAnsi="宋体"/>
          <w:b/>
          <w:bCs/>
          <w:sz w:val="36"/>
          <w:szCs w:val="36"/>
        </w:rPr>
      </w:pPr>
      <w:r>
        <w:rPr>
          <w:rFonts w:hint="eastAsia" w:ascii="宋体" w:hAnsi="宋体"/>
          <w:b/>
          <w:bCs/>
          <w:sz w:val="36"/>
          <w:szCs w:val="36"/>
        </w:rPr>
        <w:t>第四章  合同</w:t>
      </w:r>
    </w:p>
    <w:p>
      <w:pPr>
        <w:snapToGrid w:val="0"/>
        <w:spacing w:line="360" w:lineRule="auto"/>
        <w:jc w:val="center"/>
        <w:outlineLvl w:val="1"/>
        <w:rPr>
          <w:rFonts w:ascii="宋体" w:hAnsi="宋体" w:cs="宋体"/>
          <w:b/>
          <w:sz w:val="24"/>
        </w:rPr>
      </w:pPr>
      <w:bookmarkStart w:id="7" w:name="_Toc30978"/>
      <w:r>
        <w:rPr>
          <w:rFonts w:hint="eastAsia" w:ascii="宋体" w:hAnsi="宋体" w:cs="宋体"/>
          <w:b/>
          <w:sz w:val="24"/>
        </w:rPr>
        <w:t>（参考文本）</w:t>
      </w:r>
      <w:bookmarkEnd w:id="7"/>
    </w:p>
    <w:p>
      <w:pPr>
        <w:wordWrap w:val="0"/>
        <w:spacing w:line="360" w:lineRule="auto"/>
        <w:jc w:val="right"/>
        <w:rPr>
          <w:rFonts w:ascii="宋体" w:hAnsi="宋体" w:cs="宋体"/>
          <w:sz w:val="24"/>
        </w:rPr>
      </w:pPr>
      <w:r>
        <w:rPr>
          <w:rFonts w:hint="eastAsia" w:ascii="宋体" w:hAnsi="宋体" w:cs="宋体"/>
          <w:sz w:val="24"/>
        </w:rPr>
        <w:t>合同号：</w:t>
      </w:r>
    </w:p>
    <w:p>
      <w:pPr>
        <w:spacing w:line="360" w:lineRule="auto"/>
        <w:rPr>
          <w:rFonts w:ascii="宋体" w:hAnsi="宋体" w:cs="宋体"/>
          <w:sz w:val="24"/>
        </w:rPr>
      </w:pPr>
      <w:r>
        <w:rPr>
          <w:rFonts w:hint="eastAsia" w:ascii="宋体" w:hAnsi="宋体" w:cs="宋体"/>
          <w:sz w:val="24"/>
        </w:rPr>
        <w:t xml:space="preserve">甲方(采购人)：                                签订地点：                   </w:t>
      </w:r>
    </w:p>
    <w:p>
      <w:pPr>
        <w:spacing w:line="360" w:lineRule="auto"/>
        <w:rPr>
          <w:rFonts w:ascii="宋体" w:hAnsi="宋体" w:cs="宋体"/>
          <w:sz w:val="24"/>
        </w:rPr>
      </w:pPr>
      <w:r>
        <w:rPr>
          <w:rFonts w:hint="eastAsia" w:ascii="宋体" w:hAnsi="宋体" w:cs="宋体"/>
          <w:sz w:val="24"/>
        </w:rPr>
        <w:t>乙方（成交供应商）：                          签订日期：      年   月   日</w:t>
      </w:r>
    </w:p>
    <w:p>
      <w:pPr>
        <w:spacing w:line="360" w:lineRule="auto"/>
        <w:rPr>
          <w:rFonts w:ascii="宋体" w:hAnsi="宋体" w:cs="宋体"/>
          <w:sz w:val="24"/>
        </w:rPr>
      </w:pPr>
      <w:r>
        <w:rPr>
          <w:rFonts w:hint="eastAsia" w:ascii="宋体" w:hAnsi="宋体" w:cs="宋体"/>
          <w:sz w:val="24"/>
        </w:rPr>
        <w:t xml:space="preserve">    根据甲方委托(</w:t>
      </w:r>
      <w:r>
        <w:rPr>
          <w:rFonts w:hint="eastAsia" w:ascii="宋体" w:hAnsi="宋体" w:cs="宋体"/>
          <w:sz w:val="24"/>
          <w:u w:val="single"/>
        </w:rPr>
        <w:t>采购代理机构</w:t>
      </w:r>
      <w:r>
        <w:rPr>
          <w:rFonts w:hint="eastAsia" w:ascii="宋体" w:hAnsi="宋体" w:cs="宋体"/>
          <w:sz w:val="24"/>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sz w:val="24"/>
        </w:rPr>
      </w:pPr>
      <w:r>
        <w:rPr>
          <w:rFonts w:hint="eastAsia" w:ascii="宋体" w:hAnsi="宋体" w:cs="宋体"/>
          <w:b/>
          <w:bCs/>
          <w:sz w:val="24"/>
        </w:rPr>
        <w:t>1、合同标的和合同价格</w:t>
      </w:r>
    </w:p>
    <w:tbl>
      <w:tblPr>
        <w:tblStyle w:val="21"/>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pPr>
              <w:pStyle w:val="16"/>
              <w:wordWrap w:val="0"/>
              <w:spacing w:beforeAutospacing="0" w:afterAutospacing="0" w:line="360" w:lineRule="auto"/>
              <w:jc w:val="center"/>
            </w:pPr>
            <w:r>
              <w:rPr>
                <w:rFonts w:hint="eastAsia"/>
              </w:rPr>
              <w:t>合同包</w:t>
            </w:r>
          </w:p>
        </w:tc>
        <w:tc>
          <w:tcPr>
            <w:tcW w:w="881" w:type="dxa"/>
            <w:vAlign w:val="center"/>
          </w:tcPr>
          <w:p>
            <w:pPr>
              <w:pStyle w:val="16"/>
              <w:wordWrap w:val="0"/>
              <w:spacing w:beforeAutospacing="0" w:afterAutospacing="0" w:line="360" w:lineRule="auto"/>
              <w:jc w:val="center"/>
            </w:pPr>
            <w:r>
              <w:rPr>
                <w:rFonts w:hint="eastAsia"/>
              </w:rPr>
              <w:t>序号</w:t>
            </w:r>
          </w:p>
        </w:tc>
        <w:tc>
          <w:tcPr>
            <w:tcW w:w="2211" w:type="dxa"/>
            <w:vAlign w:val="center"/>
          </w:tcPr>
          <w:p>
            <w:pPr>
              <w:pStyle w:val="16"/>
              <w:wordWrap w:val="0"/>
              <w:spacing w:beforeAutospacing="0" w:afterAutospacing="0" w:line="360" w:lineRule="auto"/>
              <w:jc w:val="center"/>
            </w:pPr>
            <w:r>
              <w:rPr>
                <w:rFonts w:hint="eastAsia"/>
              </w:rPr>
              <w:t>货物名称</w:t>
            </w:r>
          </w:p>
        </w:tc>
        <w:tc>
          <w:tcPr>
            <w:tcW w:w="1546" w:type="dxa"/>
            <w:vAlign w:val="center"/>
          </w:tcPr>
          <w:p>
            <w:pPr>
              <w:pStyle w:val="16"/>
              <w:wordWrap w:val="0"/>
              <w:spacing w:beforeAutospacing="0" w:afterAutospacing="0" w:line="360" w:lineRule="auto"/>
              <w:jc w:val="center"/>
            </w:pPr>
            <w:r>
              <w:rPr>
                <w:rFonts w:hint="eastAsia"/>
              </w:rPr>
              <w:t>数量（单位）</w:t>
            </w:r>
          </w:p>
        </w:tc>
        <w:tc>
          <w:tcPr>
            <w:tcW w:w="1324" w:type="dxa"/>
            <w:vAlign w:val="center"/>
          </w:tcPr>
          <w:p>
            <w:pPr>
              <w:pStyle w:val="16"/>
              <w:wordWrap w:val="0"/>
              <w:spacing w:beforeAutospacing="0" w:afterAutospacing="0" w:line="360" w:lineRule="auto"/>
              <w:jc w:val="center"/>
            </w:pPr>
            <w:r>
              <w:rPr>
                <w:rFonts w:hint="eastAsia"/>
              </w:rPr>
              <w:t>单价（元）</w:t>
            </w:r>
          </w:p>
        </w:tc>
        <w:tc>
          <w:tcPr>
            <w:tcW w:w="1767" w:type="dxa"/>
            <w:vAlign w:val="center"/>
          </w:tcPr>
          <w:p>
            <w:pPr>
              <w:pStyle w:val="16"/>
              <w:wordWrap w:val="0"/>
              <w:spacing w:beforeAutospacing="0" w:afterAutospacing="0" w:line="360" w:lineRule="auto"/>
              <w:jc w:val="center"/>
            </w:pPr>
            <w:r>
              <w:rPr>
                <w:rFonts w:hint="eastAsia"/>
              </w:rPr>
              <w:t>合同金额（元）</w:t>
            </w:r>
          </w:p>
        </w:tc>
        <w:tc>
          <w:tcPr>
            <w:tcW w:w="659" w:type="dxa"/>
            <w:vAlign w:val="center"/>
          </w:tcPr>
          <w:p>
            <w:pPr>
              <w:pStyle w:val="16"/>
              <w:wordWrap w:val="0"/>
              <w:spacing w:beforeAutospacing="0" w:afterAutospacing="0" w:line="360" w:lineRule="auto"/>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pStyle w:val="16"/>
              <w:wordWrap w:val="0"/>
              <w:spacing w:beforeAutospacing="0" w:afterAutospacing="0" w:line="360" w:lineRule="auto"/>
              <w:jc w:val="center"/>
            </w:pPr>
            <w:r>
              <w:rPr>
                <w:rFonts w:hint="eastAsia"/>
              </w:rPr>
              <w:t>1</w:t>
            </w:r>
          </w:p>
        </w:tc>
        <w:tc>
          <w:tcPr>
            <w:tcW w:w="881" w:type="dxa"/>
            <w:vAlign w:val="center"/>
          </w:tcPr>
          <w:p>
            <w:pPr>
              <w:widowControl/>
              <w:spacing w:line="360" w:lineRule="auto"/>
              <w:jc w:val="center"/>
              <w:textAlignment w:val="center"/>
              <w:rPr>
                <w:rFonts w:cs="宋体"/>
              </w:rPr>
            </w:pPr>
          </w:p>
        </w:tc>
        <w:tc>
          <w:tcPr>
            <w:tcW w:w="2211" w:type="dxa"/>
            <w:vAlign w:val="center"/>
          </w:tcPr>
          <w:p>
            <w:pPr>
              <w:widowControl/>
              <w:spacing w:line="360" w:lineRule="auto"/>
              <w:jc w:val="center"/>
              <w:textAlignment w:val="center"/>
              <w:rPr>
                <w:rFonts w:cs="宋体"/>
              </w:rPr>
            </w:pPr>
          </w:p>
        </w:tc>
        <w:tc>
          <w:tcPr>
            <w:tcW w:w="1546" w:type="dxa"/>
            <w:vAlign w:val="center"/>
          </w:tcPr>
          <w:p>
            <w:pPr>
              <w:widowControl/>
              <w:spacing w:line="360" w:lineRule="auto"/>
              <w:jc w:val="center"/>
              <w:textAlignment w:val="center"/>
              <w:rPr>
                <w:rFonts w:ascii="宋体" w:hAnsi="宋体" w:cs="宋体"/>
                <w:color w:val="000000"/>
                <w:kern w:val="0"/>
                <w:sz w:val="24"/>
                <w:lang w:bidi="ar"/>
              </w:rPr>
            </w:pPr>
          </w:p>
        </w:tc>
        <w:tc>
          <w:tcPr>
            <w:tcW w:w="1324" w:type="dxa"/>
            <w:vAlign w:val="center"/>
          </w:tcPr>
          <w:p>
            <w:pPr>
              <w:pStyle w:val="16"/>
              <w:wordWrap w:val="0"/>
              <w:spacing w:beforeAutospacing="0" w:afterAutospacing="0" w:line="360" w:lineRule="auto"/>
              <w:jc w:val="center"/>
            </w:pPr>
          </w:p>
        </w:tc>
        <w:tc>
          <w:tcPr>
            <w:tcW w:w="1767" w:type="dxa"/>
            <w:vAlign w:val="center"/>
          </w:tcPr>
          <w:p>
            <w:pPr>
              <w:pStyle w:val="16"/>
              <w:wordWrap w:val="0"/>
              <w:spacing w:beforeAutospacing="0" w:afterAutospacing="0" w:line="360" w:lineRule="auto"/>
              <w:jc w:val="center"/>
            </w:pPr>
          </w:p>
        </w:tc>
        <w:tc>
          <w:tcPr>
            <w:tcW w:w="659" w:type="dxa"/>
            <w:vAlign w:val="center"/>
          </w:tcPr>
          <w:p>
            <w:pPr>
              <w:pStyle w:val="16"/>
              <w:wordWrap w:val="0"/>
              <w:spacing w:beforeAutospacing="0" w:afterAutospacing="0" w:line="360" w:lineRule="auto"/>
              <w:jc w:val="center"/>
            </w:pPr>
          </w:p>
        </w:tc>
      </w:tr>
    </w:tbl>
    <w:p>
      <w:pPr>
        <w:snapToGrid w:val="0"/>
        <w:spacing w:line="360" w:lineRule="auto"/>
        <w:ind w:firstLine="482" w:firstLineChars="200"/>
        <w:outlineLvl w:val="1"/>
        <w:rPr>
          <w:rFonts w:ascii="宋体" w:hAnsi="宋体" w:cs="宋体"/>
          <w:b/>
          <w:sz w:val="24"/>
        </w:rPr>
      </w:pPr>
      <w:bookmarkStart w:id="8" w:name="_Toc6480"/>
      <w:r>
        <w:rPr>
          <w:rFonts w:hint="eastAsia" w:ascii="宋体" w:hAnsi="宋体" w:cs="宋体"/>
          <w:b/>
          <w:sz w:val="24"/>
        </w:rPr>
        <w:t>2、交货地点及交货时间</w:t>
      </w:r>
      <w:bookmarkEnd w:id="8"/>
    </w:p>
    <w:p>
      <w:pPr>
        <w:spacing w:line="360" w:lineRule="auto"/>
        <w:ind w:firstLine="482" w:firstLineChars="200"/>
        <w:rPr>
          <w:rFonts w:ascii="宋体" w:hAnsi="宋体" w:cs="宋体"/>
          <w:b/>
          <w:sz w:val="24"/>
        </w:rPr>
      </w:pPr>
      <w:r>
        <w:rPr>
          <w:rFonts w:hint="eastAsia" w:ascii="宋体" w:hAnsi="宋体" w:cs="宋体"/>
          <w:b/>
          <w:sz w:val="24"/>
        </w:rPr>
        <w:t>2.1交货地点：</w:t>
      </w:r>
    </w:p>
    <w:p>
      <w:pPr>
        <w:spacing w:line="360" w:lineRule="auto"/>
        <w:ind w:firstLine="482" w:firstLineChars="200"/>
        <w:rPr>
          <w:rFonts w:ascii="宋体" w:hAnsi="宋体" w:cs="宋体"/>
          <w:b/>
          <w:sz w:val="24"/>
        </w:rPr>
      </w:pPr>
      <w:r>
        <w:rPr>
          <w:rFonts w:hint="eastAsia" w:ascii="宋体" w:hAnsi="宋体" w:cs="宋体"/>
          <w:b/>
          <w:sz w:val="24"/>
        </w:rPr>
        <w:t>2.2交货时间：</w:t>
      </w:r>
    </w:p>
    <w:p>
      <w:pPr>
        <w:tabs>
          <w:tab w:val="left" w:pos="0"/>
        </w:tabs>
        <w:spacing w:line="360" w:lineRule="auto"/>
        <w:ind w:firstLine="482" w:firstLineChars="200"/>
        <w:rPr>
          <w:rFonts w:ascii="宋体" w:hAnsi="宋体" w:cs="宋体"/>
          <w:b/>
          <w:sz w:val="24"/>
        </w:rPr>
      </w:pPr>
      <w:r>
        <w:rPr>
          <w:rFonts w:hint="eastAsia" w:ascii="宋体" w:hAnsi="宋体" w:cs="宋体"/>
          <w:b/>
          <w:sz w:val="24"/>
        </w:rPr>
        <w:t>3、交货方式：</w:t>
      </w:r>
    </w:p>
    <w:p>
      <w:pPr>
        <w:spacing w:line="360" w:lineRule="auto"/>
        <w:ind w:firstLine="482" w:firstLineChars="200"/>
        <w:outlineLvl w:val="1"/>
        <w:rPr>
          <w:rFonts w:ascii="宋体" w:hAnsi="宋体" w:cs="宋体"/>
          <w:b/>
          <w:sz w:val="24"/>
        </w:rPr>
      </w:pPr>
      <w:bookmarkStart w:id="9" w:name="_Toc15649"/>
      <w:r>
        <w:rPr>
          <w:rFonts w:hint="eastAsia" w:ascii="宋体" w:hAnsi="宋体" w:cs="宋体"/>
          <w:b/>
          <w:sz w:val="24"/>
        </w:rPr>
        <w:t>4、项目联系人：</w:t>
      </w:r>
      <w:bookmarkEnd w:id="9"/>
    </w:p>
    <w:p>
      <w:pPr>
        <w:spacing w:line="360" w:lineRule="auto"/>
        <w:ind w:firstLine="482" w:firstLineChars="200"/>
        <w:rPr>
          <w:rFonts w:ascii="宋体" w:hAnsi="宋体" w:cs="宋体"/>
          <w:b/>
          <w:sz w:val="24"/>
        </w:rPr>
      </w:pPr>
      <w:r>
        <w:rPr>
          <w:rFonts w:hint="eastAsia" w:ascii="宋体" w:hAnsi="宋体" w:cs="宋体"/>
          <w:b/>
          <w:sz w:val="24"/>
        </w:rPr>
        <w:t>5、履约保证金：</w:t>
      </w:r>
    </w:p>
    <w:p>
      <w:pPr>
        <w:spacing w:line="360" w:lineRule="auto"/>
        <w:ind w:firstLine="482" w:firstLineChars="200"/>
        <w:outlineLvl w:val="1"/>
        <w:rPr>
          <w:rFonts w:ascii="宋体" w:hAnsi="宋体" w:cs="宋体"/>
          <w:b/>
          <w:bCs/>
          <w:sz w:val="24"/>
        </w:rPr>
      </w:pPr>
      <w:bookmarkStart w:id="10" w:name="_Toc4463"/>
      <w:r>
        <w:rPr>
          <w:rFonts w:hint="eastAsia" w:ascii="宋体" w:hAnsi="宋体" w:cs="宋体"/>
          <w:b/>
          <w:sz w:val="24"/>
        </w:rPr>
        <w:t>6、结算与付款方式：</w:t>
      </w:r>
      <w:bookmarkEnd w:id="10"/>
    </w:p>
    <w:p>
      <w:pPr>
        <w:spacing w:line="360" w:lineRule="auto"/>
        <w:ind w:firstLine="482" w:firstLineChars="200"/>
        <w:rPr>
          <w:rFonts w:ascii="宋体" w:hAnsi="宋体" w:cs="宋体"/>
          <w:b/>
          <w:bCs/>
          <w:sz w:val="24"/>
        </w:rPr>
      </w:pPr>
      <w:r>
        <w:rPr>
          <w:rFonts w:hint="eastAsia" w:ascii="宋体" w:hAnsi="宋体" w:cs="宋体"/>
          <w:b/>
          <w:bCs/>
          <w:sz w:val="24"/>
        </w:rPr>
        <w:t>7、技术和服务要求（</w:t>
      </w:r>
      <w:r>
        <w:rPr>
          <w:rFonts w:ascii="宋体" w:hAnsi="宋体" w:cs="宋体"/>
          <w:b/>
          <w:bCs/>
          <w:sz w:val="24"/>
        </w:rPr>
        <w:t>按照</w:t>
      </w:r>
      <w:r>
        <w:rPr>
          <w:rFonts w:hint="eastAsia" w:ascii="宋体" w:hAnsi="宋体" w:cs="宋体"/>
          <w:b/>
          <w:bCs/>
          <w:sz w:val="24"/>
        </w:rPr>
        <w:t>竞价</w:t>
      </w:r>
      <w:r>
        <w:rPr>
          <w:rFonts w:ascii="宋体" w:hAnsi="宋体" w:cs="宋体"/>
          <w:b/>
          <w:bCs/>
          <w:sz w:val="24"/>
        </w:rPr>
        <w:t>文件、乙方</w:t>
      </w:r>
      <w:r>
        <w:rPr>
          <w:rFonts w:hint="eastAsia" w:ascii="宋体" w:hAnsi="宋体" w:cs="宋体"/>
          <w:b/>
          <w:bCs/>
          <w:sz w:val="24"/>
        </w:rPr>
        <w:t>响应文件</w:t>
      </w:r>
      <w:r>
        <w:rPr>
          <w:rFonts w:ascii="宋体" w:hAnsi="宋体" w:cs="宋体"/>
          <w:b/>
          <w:bCs/>
          <w:sz w:val="24"/>
        </w:rPr>
        <w:t>的规定或约定进行</w:t>
      </w:r>
      <w:r>
        <w:rPr>
          <w:rFonts w:hint="eastAsia" w:ascii="宋体" w:hAnsi="宋体" w:cs="宋体"/>
          <w:b/>
          <w:bCs/>
          <w:sz w:val="24"/>
        </w:rPr>
        <w:t>）具体如下：</w:t>
      </w:r>
    </w:p>
    <w:p>
      <w:pPr>
        <w:spacing w:line="360" w:lineRule="auto"/>
        <w:rPr>
          <w:rFonts w:ascii="宋体" w:hAnsi="宋体" w:cs="宋体"/>
          <w:sz w:val="24"/>
        </w:rPr>
      </w:pPr>
    </w:p>
    <w:p>
      <w:pPr>
        <w:tabs>
          <w:tab w:val="left" w:pos="0"/>
        </w:tabs>
        <w:spacing w:line="360" w:lineRule="auto"/>
        <w:ind w:firstLine="482" w:firstLineChars="200"/>
        <w:rPr>
          <w:rFonts w:ascii="宋体" w:hAnsi="宋体" w:cs="宋体"/>
          <w:sz w:val="24"/>
        </w:rPr>
      </w:pPr>
      <w:bookmarkStart w:id="11" w:name="_Toc11125"/>
      <w:r>
        <w:rPr>
          <w:rFonts w:hint="eastAsia" w:ascii="宋体" w:hAnsi="宋体" w:cs="宋体"/>
          <w:b/>
          <w:bCs/>
          <w:sz w:val="24"/>
        </w:rPr>
        <w:t>8、验收要求</w:t>
      </w:r>
      <w:bookmarkEnd w:id="11"/>
      <w:r>
        <w:rPr>
          <w:rFonts w:hint="eastAsia" w:ascii="宋体" w:hAnsi="宋体" w:cs="宋体"/>
          <w:b/>
          <w:bCs/>
          <w:sz w:val="24"/>
        </w:rPr>
        <w:t>：</w:t>
      </w:r>
      <w:r>
        <w:rPr>
          <w:rFonts w:hint="eastAsia" w:ascii="宋体" w:hAnsi="宋体" w:cs="宋体"/>
          <w:b/>
          <w:bCs/>
          <w:color w:val="000000"/>
          <w:sz w:val="24"/>
        </w:rPr>
        <w:t>（</w:t>
      </w:r>
      <w:r>
        <w:rPr>
          <w:rFonts w:ascii="宋体" w:hAnsi="宋体" w:cs="宋体"/>
          <w:b/>
          <w:bCs/>
          <w:color w:val="000000"/>
          <w:sz w:val="24"/>
        </w:rPr>
        <w:t>按照</w:t>
      </w:r>
      <w:r>
        <w:rPr>
          <w:rFonts w:hint="eastAsia" w:ascii="宋体" w:hAnsi="宋体" w:cs="宋体"/>
          <w:b/>
          <w:bCs/>
          <w:color w:val="000000"/>
          <w:sz w:val="24"/>
        </w:rPr>
        <w:t>竞价</w:t>
      </w:r>
      <w:r>
        <w:rPr>
          <w:rFonts w:ascii="宋体" w:hAnsi="宋体" w:cs="宋体"/>
          <w:b/>
          <w:bCs/>
          <w:color w:val="000000"/>
          <w:sz w:val="24"/>
        </w:rPr>
        <w:t>文件、乙方</w:t>
      </w:r>
      <w:r>
        <w:rPr>
          <w:rFonts w:hint="eastAsia" w:ascii="宋体" w:hAnsi="宋体" w:cs="宋体"/>
          <w:b/>
          <w:bCs/>
          <w:color w:val="000000"/>
          <w:sz w:val="24"/>
        </w:rPr>
        <w:t>响应文件</w:t>
      </w:r>
      <w:r>
        <w:rPr>
          <w:rFonts w:ascii="宋体" w:hAnsi="宋体" w:cs="宋体"/>
          <w:b/>
          <w:bCs/>
          <w:color w:val="000000"/>
          <w:sz w:val="24"/>
        </w:rPr>
        <w:t>的规定或约定进行</w:t>
      </w:r>
      <w:r>
        <w:rPr>
          <w:rFonts w:hint="eastAsia" w:ascii="宋体" w:hAnsi="宋体" w:cs="宋体"/>
          <w:b/>
          <w:bCs/>
          <w:color w:val="000000"/>
          <w:sz w:val="24"/>
        </w:rPr>
        <w:t>）</w:t>
      </w:r>
    </w:p>
    <w:p>
      <w:pPr>
        <w:spacing w:line="360" w:lineRule="auto"/>
        <w:ind w:firstLine="482" w:firstLineChars="200"/>
        <w:rPr>
          <w:rFonts w:ascii="宋体" w:hAnsi="宋体" w:cs="宋体"/>
          <w:b/>
          <w:bCs/>
          <w:sz w:val="24"/>
        </w:rPr>
      </w:pPr>
      <w:bookmarkStart w:id="12" w:name="_Toc22019"/>
      <w:r>
        <w:rPr>
          <w:rFonts w:hint="eastAsia" w:ascii="宋体" w:hAnsi="宋体" w:cs="宋体"/>
          <w:b/>
          <w:bCs/>
          <w:sz w:val="24"/>
        </w:rPr>
        <w:t>9.包装及运输</w:t>
      </w:r>
      <w:bookmarkEnd w:id="12"/>
      <w:r>
        <w:rPr>
          <w:rFonts w:hint="eastAsia" w:ascii="宋体" w:hAnsi="宋体" w:cs="宋体"/>
          <w:b/>
          <w:bCs/>
          <w:sz w:val="24"/>
        </w:rPr>
        <w:t>：</w:t>
      </w:r>
      <w:r>
        <w:rPr>
          <w:rFonts w:hint="eastAsia" w:ascii="宋体" w:hAnsi="宋体" w:cs="宋体"/>
          <w:b/>
          <w:bCs/>
          <w:color w:val="000000"/>
          <w:sz w:val="24"/>
        </w:rPr>
        <w:t>（</w:t>
      </w:r>
      <w:r>
        <w:rPr>
          <w:rFonts w:ascii="宋体" w:hAnsi="宋体" w:cs="宋体"/>
          <w:b/>
          <w:bCs/>
          <w:color w:val="000000"/>
          <w:sz w:val="24"/>
        </w:rPr>
        <w:t>按照</w:t>
      </w:r>
      <w:r>
        <w:rPr>
          <w:rFonts w:hint="eastAsia" w:ascii="宋体" w:hAnsi="宋体" w:cs="宋体"/>
          <w:b/>
          <w:bCs/>
          <w:color w:val="000000"/>
          <w:sz w:val="24"/>
        </w:rPr>
        <w:t>竞价</w:t>
      </w:r>
      <w:r>
        <w:rPr>
          <w:rFonts w:ascii="宋体" w:hAnsi="宋体" w:cs="宋体"/>
          <w:b/>
          <w:bCs/>
          <w:color w:val="000000"/>
          <w:sz w:val="24"/>
        </w:rPr>
        <w:t>文件、乙方</w:t>
      </w:r>
      <w:r>
        <w:rPr>
          <w:rFonts w:hint="eastAsia" w:ascii="宋体" w:hAnsi="宋体" w:cs="宋体"/>
          <w:b/>
          <w:bCs/>
          <w:color w:val="000000"/>
          <w:sz w:val="24"/>
        </w:rPr>
        <w:t>响应文件</w:t>
      </w:r>
      <w:r>
        <w:rPr>
          <w:rFonts w:ascii="宋体" w:hAnsi="宋体" w:cs="宋体"/>
          <w:b/>
          <w:bCs/>
          <w:color w:val="000000"/>
          <w:sz w:val="24"/>
        </w:rPr>
        <w:t>的规定或约定进行</w:t>
      </w:r>
      <w:r>
        <w:rPr>
          <w:rFonts w:hint="eastAsia" w:ascii="宋体" w:hAnsi="宋体" w:cs="宋体"/>
          <w:b/>
          <w:bCs/>
          <w:color w:val="000000"/>
          <w:sz w:val="24"/>
        </w:rPr>
        <w:t>）</w:t>
      </w:r>
    </w:p>
    <w:p>
      <w:pPr>
        <w:widowControl/>
        <w:tabs>
          <w:tab w:val="left" w:pos="900"/>
          <w:tab w:val="left" w:pos="1100"/>
        </w:tabs>
        <w:spacing w:line="360" w:lineRule="auto"/>
        <w:ind w:firstLine="482" w:firstLineChars="200"/>
        <w:jc w:val="left"/>
        <w:textAlignment w:val="baseline"/>
        <w:rPr>
          <w:rFonts w:ascii="宋体" w:hAnsi="宋体" w:cs="宋体"/>
          <w:b/>
          <w:bCs/>
          <w:sz w:val="24"/>
        </w:rPr>
      </w:pPr>
      <w:bookmarkStart w:id="13" w:name="_Toc29742"/>
      <w:r>
        <w:rPr>
          <w:rFonts w:hint="eastAsia" w:ascii="宋体" w:hAnsi="宋体" w:cs="宋体"/>
          <w:b/>
          <w:bCs/>
          <w:sz w:val="24"/>
        </w:rPr>
        <w:t>10、售后服务</w:t>
      </w:r>
      <w:bookmarkEnd w:id="13"/>
      <w:bookmarkStart w:id="14" w:name="_Toc26908"/>
      <w:r>
        <w:rPr>
          <w:rFonts w:hint="eastAsia" w:ascii="宋体" w:hAnsi="宋体" w:cs="宋体"/>
          <w:b/>
          <w:bCs/>
          <w:sz w:val="24"/>
        </w:rPr>
        <w:t>：</w:t>
      </w:r>
    </w:p>
    <w:p>
      <w:pPr>
        <w:spacing w:line="360" w:lineRule="auto"/>
        <w:ind w:firstLine="482" w:firstLineChars="200"/>
      </w:pPr>
      <w:r>
        <w:rPr>
          <w:rFonts w:hint="eastAsia" w:ascii="宋体" w:hAnsi="宋体" w:cs="宋体"/>
          <w:b/>
          <w:bCs/>
          <w:sz w:val="24"/>
        </w:rPr>
        <w:t>11、违约责任</w:t>
      </w:r>
      <w:bookmarkEnd w:id="14"/>
      <w:bookmarkStart w:id="15" w:name="_Toc24883"/>
      <w:r>
        <w:rPr>
          <w:rFonts w:hint="eastAsia" w:ascii="宋体" w:hAnsi="宋体" w:cs="宋体"/>
          <w:b/>
          <w:bCs/>
          <w:sz w:val="24"/>
        </w:rPr>
        <w:t>：</w:t>
      </w:r>
    </w:p>
    <w:p>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12、质量要求和技术标准</w:t>
      </w:r>
      <w:bookmarkEnd w:id="15"/>
    </w:p>
    <w:p>
      <w:pPr>
        <w:tabs>
          <w:tab w:val="left" w:pos="0"/>
        </w:tabs>
        <w:spacing w:line="360" w:lineRule="auto"/>
        <w:ind w:firstLine="480" w:firstLineChars="200"/>
        <w:rPr>
          <w:rFonts w:ascii="宋体" w:hAnsi="宋体" w:cs="宋体"/>
          <w:b/>
          <w:bCs/>
          <w:sz w:val="24"/>
        </w:rPr>
      </w:pPr>
      <w:r>
        <w:rPr>
          <w:rFonts w:hint="eastAsia" w:ascii="宋体" w:hAnsi="宋体" w:cs="宋体"/>
          <w:sz w:val="24"/>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pPr>
        <w:tabs>
          <w:tab w:val="left" w:pos="0"/>
        </w:tabs>
        <w:spacing w:line="360" w:lineRule="auto"/>
        <w:ind w:firstLine="482" w:firstLineChars="200"/>
        <w:outlineLvl w:val="1"/>
        <w:rPr>
          <w:rFonts w:ascii="宋体" w:hAnsi="宋体" w:cs="宋体"/>
          <w:b/>
          <w:bCs/>
          <w:sz w:val="24"/>
        </w:rPr>
      </w:pPr>
      <w:bookmarkStart w:id="16" w:name="_Toc25786"/>
      <w:r>
        <w:rPr>
          <w:rFonts w:hint="eastAsia" w:ascii="宋体" w:hAnsi="宋体" w:cs="宋体"/>
          <w:b/>
          <w:bCs/>
          <w:sz w:val="24"/>
        </w:rPr>
        <w:t>13、知识产权</w:t>
      </w:r>
      <w:bookmarkEnd w:id="16"/>
    </w:p>
    <w:p>
      <w:pPr>
        <w:pStyle w:val="16"/>
        <w:spacing w:before="0" w:beforeAutospacing="0" w:after="0" w:afterAutospacing="0" w:line="360" w:lineRule="auto"/>
        <w:ind w:firstLine="480" w:firstLineChars="200"/>
        <w:rPr>
          <w:lang w:val="zh-TW"/>
        </w:rPr>
      </w:pPr>
      <w:r>
        <w:rPr>
          <w:rFonts w:hint="eastAsia"/>
          <w:lang w:val="zh-TW"/>
        </w:rPr>
        <w:t>乙方须保障甲方在使用该货物或其任何一部分时不受到第三方关于侵犯专利权、商标权或工业设计权等知识产权的指控。如果任何第三方提出侵权指控与甲方无关，</w:t>
      </w:r>
      <w:r>
        <w:rPr>
          <w:rFonts w:hint="eastAsia"/>
        </w:rPr>
        <w:t>乙方</w:t>
      </w:r>
      <w:r>
        <w:rPr>
          <w:rFonts w:hint="eastAsia"/>
          <w:lang w:val="zh-TW"/>
        </w:rPr>
        <w:t>须与第三方交涉并承担可能发生的责任与一切费用。如甲方因此而遭致损失的，</w:t>
      </w:r>
      <w:r>
        <w:rPr>
          <w:rFonts w:hint="eastAsia"/>
        </w:rPr>
        <w:t>乙方</w:t>
      </w:r>
      <w:r>
        <w:rPr>
          <w:rFonts w:hint="eastAsia"/>
          <w:lang w:val="zh-TW"/>
        </w:rPr>
        <w:t>应赔偿该损失。</w:t>
      </w:r>
    </w:p>
    <w:p>
      <w:pPr>
        <w:spacing w:line="360" w:lineRule="auto"/>
        <w:ind w:firstLine="482" w:firstLineChars="200"/>
        <w:rPr>
          <w:rFonts w:ascii="宋体" w:hAnsi="宋体" w:cs="宋体"/>
          <w:b/>
          <w:bCs/>
          <w:sz w:val="24"/>
        </w:rPr>
      </w:pPr>
      <w:r>
        <w:rPr>
          <w:rFonts w:hint="eastAsia" w:ascii="宋体" w:hAnsi="宋体" w:cs="宋体"/>
          <w:b/>
          <w:bCs/>
          <w:sz w:val="24"/>
        </w:rPr>
        <w:t>14、其他约定：</w:t>
      </w:r>
      <w:r>
        <w:rPr>
          <w:rFonts w:ascii="宋体" w:hAnsi="宋体" w:cs="宋体"/>
          <w:sz w:val="24"/>
          <w:u w:val="single"/>
        </w:rPr>
        <w:t>（按照实际情况编制填写。</w:t>
      </w:r>
      <w:r>
        <w:rPr>
          <w:rFonts w:hint="eastAsia" w:ascii="宋体" w:hAnsi="宋体" w:cs="宋体"/>
          <w:sz w:val="24"/>
          <w:u w:val="single"/>
        </w:rPr>
        <w:t>竞价</w:t>
      </w:r>
      <w:r>
        <w:rPr>
          <w:rFonts w:ascii="宋体" w:hAnsi="宋体" w:cs="宋体"/>
          <w:sz w:val="24"/>
          <w:u w:val="single"/>
        </w:rPr>
        <w:t>文件第</w:t>
      </w:r>
      <w:r>
        <w:rPr>
          <w:rFonts w:hint="eastAsia" w:ascii="宋体" w:hAnsi="宋体" w:cs="宋体"/>
          <w:sz w:val="24"/>
          <w:u w:val="single"/>
        </w:rPr>
        <w:t>二</w:t>
      </w:r>
      <w:r>
        <w:rPr>
          <w:rFonts w:ascii="宋体" w:hAnsi="宋体" w:cs="宋体"/>
          <w:sz w:val="24"/>
          <w:u w:val="single"/>
        </w:rPr>
        <w:t>章已有规定的，双方均不得变更或调整；</w:t>
      </w:r>
      <w:r>
        <w:rPr>
          <w:rFonts w:hint="eastAsia" w:ascii="宋体" w:hAnsi="宋体" w:cs="宋体"/>
          <w:sz w:val="24"/>
          <w:u w:val="single"/>
        </w:rPr>
        <w:t>竞价</w:t>
      </w:r>
      <w:r>
        <w:rPr>
          <w:rFonts w:ascii="宋体" w:hAnsi="宋体" w:cs="宋体"/>
          <w:sz w:val="24"/>
          <w:u w:val="single"/>
        </w:rPr>
        <w:t>文件第</w:t>
      </w:r>
      <w:r>
        <w:rPr>
          <w:rFonts w:hint="eastAsia" w:ascii="宋体" w:hAnsi="宋体" w:cs="宋体"/>
          <w:sz w:val="24"/>
          <w:u w:val="single"/>
        </w:rPr>
        <w:t>二</w:t>
      </w:r>
      <w:r>
        <w:rPr>
          <w:rFonts w:ascii="宋体" w:hAnsi="宋体" w:cs="宋体"/>
          <w:sz w:val="24"/>
          <w:u w:val="single"/>
        </w:rPr>
        <w:t>章未作规定的，双方可通过友好协商进行约定）</w:t>
      </w:r>
    </w:p>
    <w:p>
      <w:pPr>
        <w:spacing w:line="360" w:lineRule="auto"/>
        <w:ind w:firstLine="482" w:firstLineChars="200"/>
        <w:outlineLvl w:val="1"/>
        <w:rPr>
          <w:rFonts w:ascii="宋体" w:hAnsi="宋体" w:cs="宋体"/>
          <w:b/>
          <w:bCs/>
          <w:sz w:val="24"/>
        </w:rPr>
      </w:pPr>
      <w:bookmarkStart w:id="17" w:name="_Toc1392"/>
      <w:r>
        <w:rPr>
          <w:rFonts w:hint="eastAsia" w:ascii="宋体" w:hAnsi="宋体" w:cs="宋体"/>
          <w:b/>
          <w:bCs/>
          <w:sz w:val="24"/>
        </w:rPr>
        <w:t>15、合同解除条件</w:t>
      </w:r>
      <w:bookmarkEnd w:id="17"/>
    </w:p>
    <w:p>
      <w:pPr>
        <w:spacing w:line="360" w:lineRule="auto"/>
        <w:ind w:firstLine="480" w:firstLineChars="200"/>
        <w:rPr>
          <w:rFonts w:ascii="宋体" w:hAnsi="宋体" w:cs="宋体"/>
          <w:sz w:val="24"/>
          <w:lang w:val="zh-CN"/>
        </w:rPr>
      </w:pPr>
      <w:r>
        <w:rPr>
          <w:rFonts w:hint="eastAsia" w:ascii="宋体" w:hAnsi="宋体" w:cs="宋体"/>
          <w:sz w:val="24"/>
        </w:rPr>
        <w:t>15.1乙方</w:t>
      </w:r>
      <w:r>
        <w:rPr>
          <w:rFonts w:hint="eastAsia" w:ascii="宋体" w:hAnsi="宋体" w:cs="宋体"/>
          <w:sz w:val="24"/>
          <w:lang w:val="zh-CN"/>
        </w:rPr>
        <w:t>出现以下情形之一的，</w:t>
      </w:r>
      <w:r>
        <w:rPr>
          <w:rFonts w:hint="eastAsia" w:ascii="宋体" w:hAnsi="宋体" w:cs="宋体"/>
          <w:sz w:val="24"/>
        </w:rPr>
        <w:t>甲方</w:t>
      </w:r>
      <w:r>
        <w:rPr>
          <w:rFonts w:hint="eastAsia" w:ascii="宋体" w:hAnsi="宋体" w:cs="宋体"/>
          <w:sz w:val="24"/>
          <w:lang w:val="zh-CN"/>
        </w:rPr>
        <w:t>有权单方解除合同，并没收</w:t>
      </w:r>
      <w:r>
        <w:rPr>
          <w:rFonts w:hint="eastAsia" w:ascii="宋体" w:hAnsi="宋体" w:cs="宋体"/>
          <w:sz w:val="24"/>
        </w:rPr>
        <w:t>乙方</w:t>
      </w:r>
      <w:r>
        <w:rPr>
          <w:rFonts w:hint="eastAsia" w:ascii="宋体" w:hAnsi="宋体" w:cs="宋体"/>
          <w:sz w:val="24"/>
          <w:lang w:val="zh-CN"/>
        </w:rPr>
        <w:t>履约保证金。有下列第三种情形的，</w:t>
      </w:r>
      <w:r>
        <w:rPr>
          <w:rFonts w:hint="eastAsia" w:ascii="宋体" w:hAnsi="宋体" w:cs="宋体"/>
          <w:sz w:val="24"/>
        </w:rPr>
        <w:t>甲方</w:t>
      </w:r>
      <w:r>
        <w:rPr>
          <w:rFonts w:hint="eastAsia" w:ascii="宋体" w:hAnsi="宋体" w:cs="宋体"/>
          <w:sz w:val="24"/>
          <w:lang w:val="zh-CN"/>
        </w:rPr>
        <w:t>同时还有权拒绝支付货款，要求</w:t>
      </w:r>
      <w:r>
        <w:rPr>
          <w:rFonts w:hint="eastAsia" w:ascii="宋体" w:hAnsi="宋体" w:cs="宋体"/>
          <w:sz w:val="24"/>
        </w:rPr>
        <w:t>乙方</w:t>
      </w:r>
      <w:r>
        <w:rPr>
          <w:rFonts w:hint="eastAsia" w:ascii="宋体" w:hAnsi="宋体" w:cs="宋体"/>
          <w:sz w:val="24"/>
          <w:lang w:val="zh-CN"/>
        </w:rPr>
        <w:t>赔偿损失并承担相关费用，涉嫌犯罪的，交由司法部门处理。</w:t>
      </w:r>
    </w:p>
    <w:p>
      <w:pPr>
        <w:spacing w:line="360" w:lineRule="auto"/>
        <w:ind w:firstLine="480" w:firstLineChars="200"/>
        <w:rPr>
          <w:rFonts w:ascii="宋体" w:hAnsi="宋体" w:cs="宋体"/>
          <w:sz w:val="24"/>
          <w:lang w:val="zh-CN"/>
        </w:rPr>
      </w:pPr>
      <w:r>
        <w:rPr>
          <w:rFonts w:hint="eastAsia" w:ascii="宋体" w:hAnsi="宋体" w:cs="宋体"/>
          <w:sz w:val="24"/>
        </w:rPr>
        <w:t>15</w:t>
      </w:r>
      <w:r>
        <w:rPr>
          <w:rFonts w:hint="eastAsia" w:ascii="宋体" w:hAnsi="宋体" w:cs="宋体"/>
          <w:sz w:val="24"/>
          <w:lang w:val="zh-CN"/>
        </w:rPr>
        <w:t>.1</w:t>
      </w:r>
      <w:r>
        <w:rPr>
          <w:rFonts w:hint="eastAsia" w:ascii="宋体" w:hAnsi="宋体" w:cs="宋体"/>
          <w:sz w:val="24"/>
        </w:rPr>
        <w:t>.1乙方</w:t>
      </w:r>
      <w:r>
        <w:rPr>
          <w:rFonts w:hint="eastAsia" w:ascii="宋体" w:hAnsi="宋体" w:cs="宋体"/>
          <w:sz w:val="24"/>
          <w:lang w:val="zh-CN"/>
        </w:rPr>
        <w:t>出现“违约责任”中</w:t>
      </w:r>
      <w:r>
        <w:rPr>
          <w:rFonts w:hint="eastAsia" w:ascii="宋体" w:hAnsi="宋体" w:cs="宋体"/>
          <w:sz w:val="24"/>
        </w:rPr>
        <w:t>甲方</w:t>
      </w:r>
      <w:r>
        <w:rPr>
          <w:rFonts w:hint="eastAsia" w:ascii="宋体" w:hAnsi="宋体" w:cs="宋体"/>
          <w:sz w:val="24"/>
          <w:lang w:val="zh-CN"/>
        </w:rPr>
        <w:t>有权单方面终止合同的情况。</w:t>
      </w:r>
    </w:p>
    <w:p>
      <w:pPr>
        <w:spacing w:line="360" w:lineRule="auto"/>
        <w:ind w:firstLine="480" w:firstLineChars="200"/>
        <w:rPr>
          <w:rFonts w:ascii="宋体" w:hAnsi="宋体" w:cs="宋体"/>
          <w:sz w:val="24"/>
          <w:lang w:val="zh-CN"/>
        </w:rPr>
      </w:pPr>
      <w:r>
        <w:rPr>
          <w:rFonts w:hint="eastAsia" w:ascii="宋体" w:hAnsi="宋体" w:cs="宋体"/>
          <w:sz w:val="24"/>
        </w:rPr>
        <w:t>15</w:t>
      </w: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2</w:t>
      </w:r>
      <w:r>
        <w:rPr>
          <w:rFonts w:hint="eastAsia" w:ascii="宋体" w:hAnsi="宋体" w:cs="宋体"/>
          <w:sz w:val="24"/>
        </w:rPr>
        <w:t>乙方</w:t>
      </w:r>
      <w:r>
        <w:rPr>
          <w:rFonts w:hint="eastAsia" w:ascii="宋体" w:hAnsi="宋体" w:cs="宋体"/>
          <w:sz w:val="24"/>
          <w:lang w:val="zh-CN"/>
        </w:rPr>
        <w:t>转让、转包、分包的。</w:t>
      </w:r>
    </w:p>
    <w:p>
      <w:pPr>
        <w:spacing w:line="360" w:lineRule="auto"/>
        <w:ind w:firstLine="480" w:firstLineChars="200"/>
        <w:rPr>
          <w:rFonts w:ascii="宋体" w:hAnsi="宋体" w:cs="宋体"/>
          <w:sz w:val="24"/>
        </w:rPr>
      </w:pPr>
      <w:r>
        <w:rPr>
          <w:rFonts w:hint="eastAsia" w:ascii="宋体" w:hAnsi="宋体" w:cs="宋体"/>
          <w:sz w:val="24"/>
        </w:rPr>
        <w:t>15</w:t>
      </w: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3</w:t>
      </w:r>
      <w:r>
        <w:rPr>
          <w:rFonts w:hint="eastAsia" w:ascii="宋体" w:hAnsi="宋体" w:cs="宋体"/>
          <w:sz w:val="24"/>
        </w:rPr>
        <w:t>乙方</w:t>
      </w:r>
      <w:r>
        <w:rPr>
          <w:rFonts w:hint="eastAsia" w:ascii="宋体" w:hAnsi="宋体" w:cs="宋体"/>
          <w:sz w:val="24"/>
          <w:lang w:val="zh-CN"/>
        </w:rPr>
        <w:t>非因不可抗力停止服务，向</w:t>
      </w:r>
      <w:r>
        <w:rPr>
          <w:rFonts w:hint="eastAsia" w:ascii="宋体" w:hAnsi="宋体" w:cs="宋体"/>
          <w:sz w:val="24"/>
        </w:rPr>
        <w:t>甲方</w:t>
      </w:r>
      <w:r>
        <w:rPr>
          <w:rFonts w:hint="eastAsia" w:ascii="宋体" w:hAnsi="宋体" w:cs="宋体"/>
          <w:sz w:val="24"/>
          <w:lang w:val="zh-CN"/>
        </w:rPr>
        <w:t>说明理由</w:t>
      </w:r>
      <w:r>
        <w:rPr>
          <w:rFonts w:hint="eastAsia" w:ascii="宋体" w:hAnsi="宋体" w:cs="宋体"/>
          <w:sz w:val="24"/>
        </w:rPr>
        <w:t>甲方</w:t>
      </w:r>
      <w:r>
        <w:rPr>
          <w:rFonts w:hint="eastAsia" w:ascii="宋体" w:hAnsi="宋体" w:cs="宋体"/>
          <w:sz w:val="24"/>
          <w:lang w:val="zh-CN"/>
        </w:rPr>
        <w:t>不予采信的。</w:t>
      </w:r>
    </w:p>
    <w:p>
      <w:pPr>
        <w:spacing w:line="360" w:lineRule="auto"/>
        <w:ind w:firstLine="482" w:firstLineChars="200"/>
        <w:outlineLvl w:val="1"/>
        <w:rPr>
          <w:rFonts w:ascii="宋体" w:hAnsi="宋体" w:cs="宋体"/>
          <w:b/>
          <w:bCs/>
          <w:sz w:val="24"/>
        </w:rPr>
      </w:pPr>
      <w:bookmarkStart w:id="18" w:name="_Toc5467"/>
      <w:r>
        <w:rPr>
          <w:rFonts w:hint="eastAsia" w:ascii="宋体" w:hAnsi="宋体" w:cs="宋体"/>
          <w:b/>
          <w:bCs/>
          <w:sz w:val="24"/>
        </w:rPr>
        <w:t>16、不可抗力</w:t>
      </w:r>
      <w:bookmarkEnd w:id="18"/>
    </w:p>
    <w:p>
      <w:pPr>
        <w:pStyle w:val="16"/>
        <w:spacing w:before="0" w:beforeAutospacing="0" w:after="0" w:afterAutospacing="0" w:line="360" w:lineRule="auto"/>
        <w:ind w:firstLine="480" w:firstLineChars="200"/>
        <w:rPr>
          <w:lang w:val="zh-TW"/>
        </w:rPr>
      </w:pPr>
      <w:bookmarkStart w:id="19" w:name="_Toc29609"/>
      <w:r>
        <w:rPr>
          <w:rFonts w:hint="eastAsia"/>
        </w:rPr>
        <w:t>（1）</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pPr>
      <w:r>
        <w:rPr>
          <w:rFonts w:hint="eastAsia"/>
        </w:rPr>
        <w:t>（2）</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firstLineChars="200"/>
        <w:outlineLvl w:val="1"/>
        <w:rPr>
          <w:rFonts w:ascii="宋体" w:hAnsi="宋体" w:cs="宋体"/>
          <w:b/>
          <w:bCs/>
          <w:sz w:val="24"/>
        </w:rPr>
      </w:pPr>
      <w:r>
        <w:rPr>
          <w:rFonts w:hint="eastAsia" w:ascii="宋体" w:hAnsi="宋体" w:cs="宋体"/>
          <w:b/>
          <w:bCs/>
          <w:sz w:val="24"/>
        </w:rPr>
        <w:t>17、合同纠纷处理方式</w:t>
      </w:r>
      <w:bookmarkEnd w:id="19"/>
    </w:p>
    <w:p>
      <w:pPr>
        <w:spacing w:line="360" w:lineRule="auto"/>
        <w:ind w:firstLine="480" w:firstLineChars="200"/>
        <w:rPr>
          <w:rFonts w:ascii="宋体" w:hAnsi="宋体" w:cs="宋体"/>
          <w:sz w:val="24"/>
          <w:lang w:val="zh-CN"/>
        </w:rPr>
      </w:pPr>
      <w:r>
        <w:rPr>
          <w:rFonts w:hint="eastAsia" w:ascii="宋体" w:hAnsi="宋体" w:cs="宋体"/>
          <w:sz w:val="24"/>
          <w:lang w:val="zh-CN"/>
        </w:rPr>
        <w:t>因本</w:t>
      </w:r>
      <w:r>
        <w:rPr>
          <w:rFonts w:hint="eastAsia" w:ascii="宋体" w:hAnsi="宋体" w:cs="宋体"/>
          <w:sz w:val="24"/>
        </w:rPr>
        <w:t>项目</w:t>
      </w:r>
      <w:r>
        <w:rPr>
          <w:rFonts w:hint="eastAsia" w:ascii="宋体" w:hAnsi="宋体" w:cs="宋体"/>
          <w:sz w:val="24"/>
          <w:lang w:val="zh-CN"/>
        </w:rPr>
        <w:t>合同或与本</w:t>
      </w:r>
      <w:r>
        <w:rPr>
          <w:rFonts w:hint="eastAsia" w:ascii="宋体" w:hAnsi="宋体" w:cs="宋体"/>
          <w:sz w:val="24"/>
        </w:rPr>
        <w:t>项目</w:t>
      </w:r>
      <w:r>
        <w:rPr>
          <w:rFonts w:hint="eastAsia" w:ascii="宋体" w:hAnsi="宋体" w:cs="宋体"/>
          <w:sz w:val="24"/>
          <w:lang w:val="zh-CN"/>
        </w:rPr>
        <w:t>合同有关的一切事项发生争议，由双方友好协商解决。协商不成的，任何一方均可选择以下方式解决：向甲方所在地有管辖权的人民法院提起诉讼。</w:t>
      </w:r>
    </w:p>
    <w:p>
      <w:pPr>
        <w:spacing w:line="360" w:lineRule="auto"/>
        <w:ind w:firstLine="482" w:firstLineChars="200"/>
        <w:outlineLvl w:val="1"/>
        <w:rPr>
          <w:rFonts w:ascii="宋体" w:hAnsi="宋体" w:cs="宋体"/>
          <w:b/>
          <w:bCs/>
          <w:sz w:val="24"/>
        </w:rPr>
      </w:pPr>
      <w:bookmarkStart w:id="20" w:name="_Toc16899"/>
      <w:r>
        <w:rPr>
          <w:rFonts w:hint="eastAsia" w:ascii="宋体" w:hAnsi="宋体" w:cs="宋体"/>
          <w:b/>
          <w:bCs/>
          <w:sz w:val="24"/>
        </w:rPr>
        <w:t>18、其他要求</w:t>
      </w:r>
      <w:bookmarkEnd w:id="20"/>
    </w:p>
    <w:p>
      <w:pPr>
        <w:tabs>
          <w:tab w:val="left" w:pos="0"/>
        </w:tabs>
        <w:spacing w:line="360" w:lineRule="auto"/>
        <w:ind w:firstLine="480" w:firstLineChars="200"/>
        <w:rPr>
          <w:rFonts w:ascii="宋体" w:hAnsi="宋体" w:cs="宋体"/>
          <w:sz w:val="24"/>
        </w:rPr>
      </w:pPr>
      <w:r>
        <w:rPr>
          <w:rFonts w:hint="eastAsia" w:ascii="宋体" w:hAnsi="宋体" w:cs="宋体"/>
          <w:sz w:val="24"/>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pPr>
        <w:tabs>
          <w:tab w:val="left" w:pos="0"/>
        </w:tabs>
        <w:spacing w:line="360" w:lineRule="auto"/>
        <w:ind w:firstLine="480" w:firstLineChars="200"/>
        <w:rPr>
          <w:rFonts w:ascii="宋体" w:hAnsi="宋体" w:cs="宋体"/>
          <w:sz w:val="24"/>
        </w:rPr>
      </w:pPr>
      <w:r>
        <w:rPr>
          <w:rFonts w:hint="eastAsia" w:ascii="宋体" w:hAnsi="宋体" w:cs="宋体"/>
          <w:sz w:val="24"/>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pPr>
        <w:tabs>
          <w:tab w:val="left" w:pos="0"/>
        </w:tabs>
        <w:spacing w:line="360" w:lineRule="auto"/>
        <w:ind w:firstLine="480" w:firstLineChars="200"/>
        <w:rPr>
          <w:rFonts w:ascii="宋体" w:hAnsi="宋体" w:cs="宋体"/>
          <w:sz w:val="24"/>
        </w:rPr>
      </w:pPr>
      <w:r>
        <w:rPr>
          <w:rFonts w:hint="eastAsia" w:ascii="宋体" w:hAnsi="宋体" w:cs="宋体"/>
          <w:sz w:val="24"/>
        </w:rPr>
        <w:t>18.3违约责任按双方签订合同及《中华人民共和国民法典》的相关规定执行。如遇国家政策调整及甲方上级管理机关有重新规定或监狱有特殊情况，甲方有权变更或终止合同。</w:t>
      </w:r>
    </w:p>
    <w:p>
      <w:pPr>
        <w:tabs>
          <w:tab w:val="left" w:pos="0"/>
        </w:tabs>
        <w:spacing w:line="360" w:lineRule="auto"/>
        <w:ind w:firstLine="482" w:firstLineChars="200"/>
        <w:outlineLvl w:val="1"/>
        <w:rPr>
          <w:rFonts w:ascii="宋体" w:hAnsi="宋体" w:cs="宋体"/>
          <w:b/>
          <w:bCs/>
          <w:sz w:val="24"/>
        </w:rPr>
      </w:pPr>
      <w:bookmarkStart w:id="21" w:name="_Toc8403"/>
      <w:r>
        <w:rPr>
          <w:rFonts w:hint="eastAsia" w:ascii="宋体" w:hAnsi="宋体" w:cs="宋体"/>
          <w:b/>
          <w:bCs/>
          <w:sz w:val="24"/>
        </w:rPr>
        <w:t>19、保密要求</w:t>
      </w:r>
      <w:bookmarkEnd w:id="21"/>
    </w:p>
    <w:p>
      <w:pPr>
        <w:pStyle w:val="16"/>
        <w:spacing w:before="0" w:beforeAutospacing="0" w:after="0" w:afterAutospacing="0" w:line="360" w:lineRule="auto"/>
        <w:ind w:firstLine="480" w:firstLineChars="200"/>
      </w:pPr>
      <w:bookmarkStart w:id="22" w:name="_Toc21944"/>
      <w:r>
        <w:rPr>
          <w:rFonts w:hint="eastAsia"/>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6"/>
        <w:spacing w:before="0" w:beforeAutospacing="0" w:after="0" w:afterAutospacing="0" w:line="360" w:lineRule="auto"/>
        <w:ind w:firstLine="480" w:firstLineChars="200"/>
      </w:pPr>
      <w:r>
        <w:rPr>
          <w:rFonts w:hint="eastAsia"/>
        </w:rPr>
        <w:t>（2）乙方违反本条约定泄露甲方的涉密信息的，应承担相应的法律责任，造成甲方损失的，乙方应当依法承担赔偿责任。</w:t>
      </w:r>
    </w:p>
    <w:p>
      <w:pPr>
        <w:pStyle w:val="16"/>
        <w:spacing w:before="0" w:beforeAutospacing="0" w:after="0" w:afterAutospacing="0" w:line="360" w:lineRule="auto"/>
        <w:ind w:firstLine="480" w:firstLineChars="200"/>
        <w:rPr>
          <w:lang w:val="zh-TW"/>
        </w:rPr>
      </w:pPr>
      <w:r>
        <w:rPr>
          <w:rFonts w:hint="eastAsia"/>
        </w:rPr>
        <w:t>（3）本条款不因合同届满或解除而失效。</w:t>
      </w:r>
    </w:p>
    <w:p>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20、廉政条款</w:t>
      </w:r>
      <w:bookmarkEnd w:id="22"/>
    </w:p>
    <w:p>
      <w:pPr>
        <w:pStyle w:val="16"/>
        <w:spacing w:before="0" w:beforeAutospacing="0" w:after="0" w:afterAutospacing="0" w:line="360" w:lineRule="auto"/>
        <w:ind w:firstLine="480" w:firstLineChars="200"/>
        <w:rPr>
          <w:lang w:val="zh-TW"/>
        </w:rPr>
      </w:pPr>
      <w:r>
        <w:rPr>
          <w:rFonts w:hint="eastAsia"/>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pacing w:line="360" w:lineRule="auto"/>
        <w:ind w:firstLine="480" w:firstLineChars="200"/>
        <w:rPr>
          <w:rFonts w:ascii="宋体" w:hAnsi="宋体" w:cs="宋体"/>
          <w:sz w:val="24"/>
        </w:rPr>
      </w:pPr>
      <w:r>
        <w:rPr>
          <w:rFonts w:hint="eastAsia" w:ascii="宋体" w:hAnsi="宋体" w:cs="宋体"/>
          <w:sz w:val="24"/>
        </w:rPr>
        <w:t>合同一式四份，经双方法定代表人或委托代理人签章并加盖公章后生效。甲方执三份，乙方一份，具有同等法律效力。</w:t>
      </w:r>
    </w:p>
    <w:p>
      <w:pPr>
        <w:spacing w:line="360" w:lineRule="auto"/>
        <w:ind w:firstLine="480" w:firstLineChars="200"/>
        <w:rPr>
          <w:rFonts w:ascii="宋体" w:hAnsi="宋体" w:cs="宋体"/>
          <w:sz w:val="24"/>
        </w:rPr>
      </w:pPr>
      <w:r>
        <w:rPr>
          <w:rFonts w:hint="eastAsia" w:ascii="宋体" w:hAnsi="宋体" w:cs="宋体"/>
          <w:sz w:val="24"/>
        </w:rPr>
        <w:t xml:space="preserve">          （以下无正文）</w:t>
      </w:r>
    </w:p>
    <w:p>
      <w:pPr>
        <w:spacing w:line="360" w:lineRule="auto"/>
        <w:ind w:firstLine="480" w:firstLineChars="200"/>
        <w:rPr>
          <w:rFonts w:ascii="宋体" w:hAnsi="宋体" w:cs="宋体"/>
          <w:sz w:val="24"/>
        </w:rPr>
      </w:pPr>
      <w:r>
        <w:rPr>
          <w:rFonts w:hint="eastAsia" w:ascii="宋体" w:hAnsi="宋体" w:cs="宋体"/>
          <w:sz w:val="24"/>
        </w:rPr>
        <w:t>甲    方：                            乙    方：</w:t>
      </w:r>
    </w:p>
    <w:p>
      <w:pPr>
        <w:spacing w:line="360" w:lineRule="auto"/>
        <w:ind w:firstLine="480" w:firstLineChars="200"/>
        <w:rPr>
          <w:rFonts w:ascii="宋体" w:hAnsi="宋体" w:cs="宋体"/>
          <w:sz w:val="24"/>
        </w:rPr>
      </w:pPr>
      <w:r>
        <w:rPr>
          <w:rFonts w:hint="eastAsia" w:ascii="宋体" w:hAnsi="宋体" w:cs="宋体"/>
          <w:sz w:val="24"/>
        </w:rPr>
        <w:t>单位地址：                            单位地址：</w:t>
      </w:r>
    </w:p>
    <w:p>
      <w:pPr>
        <w:spacing w:line="360" w:lineRule="auto"/>
        <w:ind w:firstLine="480" w:firstLineChars="200"/>
        <w:rPr>
          <w:rFonts w:ascii="宋体" w:hAnsi="宋体" w:cs="宋体"/>
          <w:sz w:val="24"/>
        </w:rPr>
      </w:pPr>
      <w:r>
        <w:rPr>
          <w:rFonts w:hint="eastAsia" w:ascii="宋体" w:hAnsi="宋体" w:cs="宋体"/>
          <w:sz w:val="24"/>
        </w:rPr>
        <w:t>单位负责人：                          单位负责人：</w:t>
      </w:r>
    </w:p>
    <w:p>
      <w:pPr>
        <w:spacing w:line="360" w:lineRule="auto"/>
        <w:ind w:firstLine="480" w:firstLineChars="200"/>
        <w:rPr>
          <w:rFonts w:ascii="宋体" w:hAnsi="宋体" w:cs="宋体"/>
          <w:sz w:val="24"/>
        </w:rPr>
      </w:pPr>
      <w:r>
        <w:rPr>
          <w:rFonts w:hint="eastAsia" w:ascii="宋体" w:hAnsi="宋体" w:cs="宋体"/>
          <w:sz w:val="24"/>
        </w:rPr>
        <w:t>委托代理人：                          委托代理人：</w:t>
      </w:r>
    </w:p>
    <w:p>
      <w:pPr>
        <w:spacing w:line="360" w:lineRule="auto"/>
        <w:ind w:firstLine="480" w:firstLineChars="200"/>
        <w:rPr>
          <w:rFonts w:ascii="宋体" w:hAnsi="宋体" w:cs="宋体"/>
          <w:sz w:val="24"/>
        </w:rPr>
      </w:pPr>
      <w:r>
        <w:rPr>
          <w:rFonts w:hint="eastAsia" w:ascii="宋体" w:hAnsi="宋体" w:cs="宋体"/>
          <w:sz w:val="24"/>
        </w:rPr>
        <w:t>电    话：                            电    话：</w:t>
      </w:r>
    </w:p>
    <w:p>
      <w:pPr>
        <w:spacing w:line="360" w:lineRule="auto"/>
        <w:ind w:firstLine="480" w:firstLineChars="200"/>
        <w:rPr>
          <w:rFonts w:ascii="宋体" w:hAnsi="宋体" w:cs="宋体"/>
          <w:sz w:val="24"/>
        </w:rPr>
      </w:pPr>
      <w:r>
        <w:rPr>
          <w:rFonts w:hint="eastAsia" w:ascii="宋体" w:hAnsi="宋体" w:cs="宋体"/>
          <w:sz w:val="24"/>
        </w:rPr>
        <w:t>开户银行：                            开户银行：</w:t>
      </w:r>
    </w:p>
    <w:p>
      <w:pPr>
        <w:pStyle w:val="20"/>
        <w:spacing w:line="360" w:lineRule="auto"/>
        <w:ind w:left="0" w:leftChars="0" w:firstLine="480" w:firstLineChars="200"/>
        <w:rPr>
          <w:sz w:val="24"/>
        </w:rPr>
      </w:pPr>
      <w:bookmarkStart w:id="23" w:name="_Toc30271"/>
      <w:r>
        <w:rPr>
          <w:rFonts w:hint="eastAsia" w:ascii="宋体" w:hAnsi="宋体" w:cs="宋体"/>
          <w:sz w:val="24"/>
        </w:rPr>
        <w:t>账    号：                            账    号：</w:t>
      </w:r>
      <w:bookmarkEnd w:id="23"/>
    </w:p>
    <w:p>
      <w:pPr>
        <w:pStyle w:val="20"/>
        <w:spacing w:line="360" w:lineRule="auto"/>
      </w:pPr>
    </w:p>
    <w:p>
      <w:pPr>
        <w:pStyle w:val="20"/>
        <w:spacing w:line="360" w:lineRule="auto"/>
      </w:pPr>
    </w:p>
    <w:p>
      <w:pPr>
        <w:pStyle w:val="20"/>
        <w:spacing w:line="360" w:lineRule="auto"/>
      </w:pPr>
    </w:p>
    <w:p>
      <w:pPr>
        <w:pStyle w:val="20"/>
        <w:spacing w:line="360" w:lineRule="auto"/>
      </w:pPr>
    </w:p>
    <w:p>
      <w:pPr>
        <w:pStyle w:val="20"/>
        <w:spacing w:line="360" w:lineRule="auto"/>
      </w:pPr>
    </w:p>
    <w:p>
      <w:pPr>
        <w:pStyle w:val="20"/>
        <w:spacing w:line="360" w:lineRule="auto"/>
      </w:pPr>
    </w:p>
    <w:p>
      <w:pPr>
        <w:pStyle w:val="20"/>
        <w:spacing w:line="360" w:lineRule="auto"/>
      </w:pPr>
    </w:p>
    <w:p>
      <w:pPr>
        <w:pStyle w:val="20"/>
        <w:spacing w:line="360" w:lineRule="auto"/>
      </w:pPr>
    </w:p>
    <w:p>
      <w:pPr>
        <w:pStyle w:val="20"/>
        <w:spacing w:line="360" w:lineRule="auto"/>
      </w:pPr>
    </w:p>
    <w:p>
      <w:pPr>
        <w:rPr>
          <w:rFonts w:ascii="宋体" w:hAnsi="宋体"/>
          <w:b/>
          <w:bCs/>
          <w:sz w:val="36"/>
          <w:szCs w:val="36"/>
        </w:rPr>
      </w:pPr>
      <w:r>
        <w:rPr>
          <w:rFonts w:hint="eastAsia" w:ascii="宋体" w:hAnsi="宋体"/>
          <w:b/>
          <w:bCs/>
          <w:sz w:val="36"/>
          <w:szCs w:val="36"/>
        </w:rPr>
        <w:br w:type="page"/>
      </w:r>
    </w:p>
    <w:p>
      <w:pPr>
        <w:widowControl/>
        <w:spacing w:line="360" w:lineRule="auto"/>
        <w:jc w:val="center"/>
        <w:rPr>
          <w:rFonts w:ascii="宋体" w:hAnsi="宋体"/>
          <w:b/>
          <w:bCs/>
          <w:sz w:val="36"/>
          <w:szCs w:val="36"/>
        </w:rPr>
      </w:pPr>
      <w:r>
        <w:rPr>
          <w:rFonts w:hint="eastAsia" w:ascii="宋体" w:hAnsi="宋体"/>
          <w:b/>
          <w:bCs/>
          <w:sz w:val="36"/>
          <w:szCs w:val="36"/>
        </w:rPr>
        <w:t>第五章  响应文件格式</w:t>
      </w:r>
    </w:p>
    <w:p>
      <w:pPr>
        <w:pStyle w:val="7"/>
        <w:spacing w:line="360" w:lineRule="auto"/>
        <w:rPr>
          <w:rFonts w:ascii="宋体" w:hAnsi="宋体" w:cs="宋体"/>
          <w:b/>
          <w:kern w:val="0"/>
          <w:sz w:val="24"/>
        </w:rPr>
      </w:pPr>
    </w:p>
    <w:p>
      <w:pPr>
        <w:adjustRightInd w:val="0"/>
        <w:snapToGrid w:val="0"/>
        <w:spacing w:line="360" w:lineRule="auto"/>
        <w:rPr>
          <w:rFonts w:ascii="宋体" w:hAnsi="宋体" w:cs="宋体"/>
          <w:sz w:val="24"/>
        </w:rPr>
      </w:pPr>
    </w:p>
    <w:p>
      <w:pPr>
        <w:adjustRightInd w:val="0"/>
        <w:snapToGrid w:val="0"/>
        <w:spacing w:line="360" w:lineRule="auto"/>
        <w:ind w:firstLine="480" w:firstLineChars="200"/>
        <w:jc w:val="center"/>
        <w:rPr>
          <w:rFonts w:ascii="宋体" w:hAnsi="宋体" w:cs="宋体"/>
          <w:sz w:val="24"/>
        </w:rPr>
      </w:pPr>
      <w:r>
        <w:rPr>
          <w:rFonts w:hint="eastAsia" w:ascii="宋体" w:hAnsi="宋体" w:cs="宋体"/>
          <w:sz w:val="24"/>
        </w:rPr>
        <w:t>响应文件编制说明</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pPr>
        <w:spacing w:line="360" w:lineRule="auto"/>
      </w:pPr>
    </w:p>
    <w:p>
      <w:pPr>
        <w:pStyle w:val="4"/>
        <w:spacing w:line="360" w:lineRule="auto"/>
      </w:pPr>
    </w:p>
    <w:p>
      <w:pPr>
        <w:spacing w:line="360" w:lineRule="auto"/>
      </w:pPr>
    </w:p>
    <w:p>
      <w:pPr>
        <w:pStyle w:val="4"/>
        <w:spacing w:line="360" w:lineRule="auto"/>
      </w:pPr>
    </w:p>
    <w:p>
      <w:pPr>
        <w:spacing w:line="360" w:lineRule="auto"/>
      </w:pPr>
    </w:p>
    <w:p>
      <w:pPr>
        <w:pStyle w:val="5"/>
        <w:spacing w:line="360" w:lineRule="auto"/>
      </w:pPr>
    </w:p>
    <w:p>
      <w:pPr>
        <w:spacing w:line="360" w:lineRule="auto"/>
      </w:pPr>
    </w:p>
    <w:p>
      <w:pPr>
        <w:pStyle w:val="5"/>
        <w:spacing w:line="360" w:lineRule="auto"/>
      </w:pPr>
    </w:p>
    <w:p>
      <w:pPr>
        <w:spacing w:line="360" w:lineRule="auto"/>
      </w:pPr>
    </w:p>
    <w:p>
      <w:pPr>
        <w:pStyle w:val="5"/>
        <w:spacing w:line="360" w:lineRule="auto"/>
      </w:pPr>
    </w:p>
    <w:p>
      <w:pPr>
        <w:spacing w:line="360" w:lineRule="auto"/>
      </w:pPr>
    </w:p>
    <w:p>
      <w:pPr>
        <w:rPr>
          <w:rFonts w:ascii="黑体" w:hAnsi="黑体" w:eastAsia="黑体"/>
          <w:sz w:val="96"/>
          <w:szCs w:val="96"/>
        </w:rPr>
      </w:pPr>
      <w:r>
        <w:rPr>
          <w:rFonts w:hint="eastAsia" w:ascii="黑体" w:hAnsi="黑体" w:eastAsia="黑体"/>
          <w:sz w:val="96"/>
          <w:szCs w:val="96"/>
        </w:rPr>
        <w:br w:type="page"/>
      </w:r>
    </w:p>
    <w:p>
      <w:pPr>
        <w:spacing w:line="360" w:lineRule="auto"/>
        <w:jc w:val="center"/>
        <w:rPr>
          <w:rFonts w:ascii="黑体" w:hAnsi="黑体" w:eastAsia="黑体"/>
          <w:sz w:val="96"/>
          <w:szCs w:val="96"/>
        </w:rPr>
      </w:pPr>
      <w:r>
        <w:rPr>
          <w:rFonts w:hint="eastAsia" w:ascii="黑体" w:hAnsi="黑体" w:eastAsia="黑体"/>
          <w:sz w:val="96"/>
          <w:szCs w:val="96"/>
        </w:rPr>
        <w:t>响应文件</w:t>
      </w:r>
    </w:p>
    <w:p>
      <w:pPr>
        <w:pStyle w:val="28"/>
        <w:spacing w:after="120" w:line="360" w:lineRule="auto"/>
        <w:outlineLvl w:val="9"/>
        <w:rPr>
          <w:rStyle w:val="29"/>
          <w:rFonts w:hAnsi="宋体" w:cs="宋体"/>
          <w:b/>
          <w:bCs/>
          <w:sz w:val="44"/>
          <w:szCs w:val="44"/>
        </w:rPr>
      </w:pPr>
    </w:p>
    <w:p>
      <w:pPr>
        <w:pStyle w:val="28"/>
        <w:spacing w:after="120" w:line="360" w:lineRule="auto"/>
        <w:jc w:val="center"/>
        <w:outlineLvl w:val="9"/>
        <w:rPr>
          <w:rStyle w:val="29"/>
          <w:rFonts w:hAnsi="宋体" w:cs="宋体"/>
          <w:b/>
          <w:bCs/>
          <w:sz w:val="44"/>
          <w:szCs w:val="44"/>
        </w:rPr>
      </w:pPr>
      <w:r>
        <w:rPr>
          <w:rStyle w:val="29"/>
          <w:rFonts w:hint="eastAsia" w:hAnsi="宋体" w:cs="宋体"/>
          <w:b/>
          <w:bCs/>
          <w:sz w:val="44"/>
          <w:szCs w:val="44"/>
        </w:rPr>
        <w:t>（第一部分  资格及技术商务部分）</w:t>
      </w:r>
    </w:p>
    <w:p>
      <w:pPr>
        <w:spacing w:line="360" w:lineRule="auto"/>
        <w:ind w:firstLine="1920" w:firstLineChars="200"/>
        <w:jc w:val="left"/>
        <w:rPr>
          <w:sz w:val="96"/>
          <w:szCs w:val="96"/>
        </w:rPr>
      </w:pPr>
    </w:p>
    <w:p>
      <w:pPr>
        <w:spacing w:line="360" w:lineRule="auto"/>
        <w:ind w:firstLine="1920" w:firstLineChars="200"/>
        <w:jc w:val="left"/>
        <w:rPr>
          <w:sz w:val="96"/>
          <w:szCs w:val="96"/>
        </w:rPr>
      </w:pPr>
    </w:p>
    <w:p>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p>
    <w:p>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p>
    <w:p>
      <w:pPr>
        <w:spacing w:line="360" w:lineRule="auto"/>
        <w:ind w:firstLine="148" w:firstLineChars="49"/>
        <w:rPr>
          <w:rFonts w:ascii="宋体" w:hAnsi="宋体" w:cs="宋体"/>
          <w:b/>
          <w:sz w:val="30"/>
        </w:rPr>
      </w:pPr>
      <w:r>
        <w:rPr>
          <w:rFonts w:hint="eastAsia" w:ascii="宋体" w:hAnsi="宋体" w:cs="宋体"/>
          <w:b/>
          <w:sz w:val="30"/>
        </w:rPr>
        <w:t xml:space="preserve">    地址：</w:t>
      </w:r>
    </w:p>
    <w:p>
      <w:pPr>
        <w:pStyle w:val="4"/>
        <w:spacing w:line="360" w:lineRule="auto"/>
      </w:pPr>
    </w:p>
    <w:p>
      <w:pPr>
        <w:rPr>
          <w:rFonts w:hAnsi="宋体" w:cs="宋体"/>
          <w:b/>
          <w:sz w:val="36"/>
        </w:rPr>
      </w:pPr>
      <w:r>
        <w:rPr>
          <w:rFonts w:hint="eastAsia" w:hAnsi="宋体" w:cs="宋体"/>
          <w:b/>
          <w:sz w:val="36"/>
        </w:rPr>
        <w:br w:type="page"/>
      </w:r>
    </w:p>
    <w:p>
      <w:pPr>
        <w:pStyle w:val="28"/>
        <w:spacing w:after="120" w:line="360" w:lineRule="auto"/>
        <w:jc w:val="center"/>
        <w:outlineLvl w:val="9"/>
        <w:rPr>
          <w:rFonts w:hAnsi="宋体" w:cs="宋体"/>
          <w:b/>
          <w:sz w:val="36"/>
        </w:rPr>
      </w:pPr>
      <w:r>
        <w:rPr>
          <w:rFonts w:hint="eastAsia" w:hAnsi="宋体" w:cs="宋体"/>
          <w:b/>
          <w:sz w:val="36"/>
        </w:rPr>
        <w:t>目  录</w:t>
      </w:r>
    </w:p>
    <w:p>
      <w:pPr>
        <w:pStyle w:val="28"/>
        <w:spacing w:after="120" w:line="360" w:lineRule="auto"/>
        <w:outlineLvl w:val="9"/>
        <w:rPr>
          <w:rFonts w:hAnsi="宋体" w:cs="宋体"/>
          <w:b/>
          <w:sz w:val="36"/>
        </w:rPr>
      </w:pPr>
    </w:p>
    <w:p>
      <w:pPr>
        <w:pStyle w:val="28"/>
        <w:spacing w:line="360" w:lineRule="auto"/>
        <w:rPr>
          <w:rFonts w:hAnsi="宋体" w:cs="宋体"/>
          <w:bCs/>
          <w:sz w:val="24"/>
        </w:rPr>
      </w:pPr>
      <w:r>
        <w:rPr>
          <w:rFonts w:hint="eastAsia" w:hAnsi="宋体" w:cs="宋体"/>
          <w:bCs/>
          <w:sz w:val="24"/>
        </w:rPr>
        <w:t>1、网上竞价承诺书</w:t>
      </w:r>
    </w:p>
    <w:p>
      <w:pPr>
        <w:pStyle w:val="28"/>
        <w:spacing w:line="36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pPr>
        <w:pStyle w:val="28"/>
        <w:spacing w:line="360" w:lineRule="auto"/>
        <w:rPr>
          <w:rFonts w:hAnsi="宋体"/>
          <w:sz w:val="24"/>
        </w:rPr>
      </w:pPr>
      <w:r>
        <w:rPr>
          <w:rFonts w:hint="eastAsia" w:hAnsi="宋体" w:cs="宋体"/>
          <w:bCs/>
          <w:sz w:val="24"/>
        </w:rPr>
        <w:t>3、</w:t>
      </w:r>
      <w:r>
        <w:rPr>
          <w:rFonts w:hint="eastAsia" w:hAnsi="宋体"/>
          <w:sz w:val="24"/>
        </w:rPr>
        <w:t>单位授权书</w:t>
      </w:r>
    </w:p>
    <w:p>
      <w:pPr>
        <w:pStyle w:val="28"/>
        <w:spacing w:line="360" w:lineRule="auto"/>
        <w:rPr>
          <w:rFonts w:hAnsi="宋体"/>
          <w:sz w:val="24"/>
        </w:rPr>
      </w:pPr>
      <w:r>
        <w:rPr>
          <w:rFonts w:hint="eastAsia" w:hAnsi="宋体"/>
          <w:sz w:val="24"/>
        </w:rPr>
        <w:t>4、网上竞价文件要求的其他资格和技术商务材料</w:t>
      </w:r>
    </w:p>
    <w:p>
      <w:pPr>
        <w:pStyle w:val="28"/>
        <w:spacing w:line="360" w:lineRule="auto"/>
        <w:outlineLvl w:val="9"/>
        <w:rPr>
          <w:rFonts w:hAnsi="宋体" w:cs="宋体"/>
          <w:bCs/>
          <w:sz w:val="24"/>
        </w:rPr>
      </w:pPr>
    </w:p>
    <w:p>
      <w:pPr>
        <w:widowControl/>
        <w:spacing w:line="360" w:lineRule="auto"/>
        <w:jc w:val="center"/>
        <w:rPr>
          <w:rFonts w:ascii="宋体" w:hAnsi="宋体" w:cs="宋体"/>
          <w:b/>
          <w:kern w:val="0"/>
          <w:sz w:val="72"/>
          <w:szCs w:val="72"/>
          <w:shd w:val="clear" w:color="auto" w:fill="FFFFFF"/>
        </w:rPr>
      </w:pPr>
    </w:p>
    <w:p>
      <w:pPr>
        <w:widowControl/>
        <w:spacing w:line="360" w:lineRule="auto"/>
        <w:jc w:val="center"/>
        <w:rPr>
          <w:rFonts w:ascii="宋体" w:hAnsi="宋体" w:cs="宋体"/>
          <w:b/>
          <w:kern w:val="0"/>
          <w:sz w:val="72"/>
          <w:szCs w:val="72"/>
          <w:shd w:val="clear" w:color="auto" w:fill="FFFFFF"/>
        </w:rPr>
      </w:pPr>
    </w:p>
    <w:p>
      <w:pPr>
        <w:widowControl/>
        <w:spacing w:line="360" w:lineRule="auto"/>
        <w:jc w:val="center"/>
        <w:rPr>
          <w:rFonts w:ascii="宋体" w:hAnsi="宋体" w:cs="宋体"/>
          <w:b/>
          <w:kern w:val="0"/>
          <w:sz w:val="72"/>
          <w:szCs w:val="72"/>
          <w:shd w:val="clear" w:color="auto" w:fill="FFFFFF"/>
        </w:rPr>
        <w:sectPr>
          <w:footerReference r:id="rId3" w:type="default"/>
          <w:pgSz w:w="11906" w:h="16838"/>
          <w:pgMar w:top="1417" w:right="1417" w:bottom="1417" w:left="1417" w:header="851" w:footer="646" w:gutter="0"/>
          <w:cols w:space="720" w:num="1"/>
          <w:docGrid w:linePitch="312" w:charSpace="0"/>
        </w:sectPr>
      </w:pPr>
    </w:p>
    <w:p>
      <w:pPr>
        <w:widowControl/>
        <w:spacing w:line="360" w:lineRule="auto"/>
        <w:ind w:left="723" w:firstLine="3092" w:firstLineChars="1100"/>
        <w:outlineLvl w:val="0"/>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pPr>
        <w:widowControl/>
        <w:spacing w:line="360" w:lineRule="auto"/>
        <w:rPr>
          <w:rFonts w:ascii="宋体" w:hAnsi="宋体" w:cs="宋体"/>
          <w:b/>
          <w:kern w:val="0"/>
          <w:sz w:val="28"/>
          <w:szCs w:val="28"/>
          <w:shd w:val="clear" w:color="auto" w:fill="FFFFFF"/>
        </w:rPr>
      </w:pPr>
    </w:p>
    <w:p>
      <w:pPr>
        <w:widowControl/>
        <w:spacing w:line="360" w:lineRule="auto"/>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31"/>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31"/>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pPr>
        <w:spacing w:line="360" w:lineRule="auto"/>
        <w:ind w:firstLine="480" w:firstLineChars="200"/>
        <w:jc w:val="left"/>
        <w:rPr>
          <w:rFonts w:ascii="宋体" w:hAnsi="宋体"/>
          <w:sz w:val="24"/>
        </w:rPr>
      </w:pPr>
      <w:r>
        <w:rPr>
          <w:rFonts w:hint="eastAsia" w:ascii="宋体" w:hAnsi="宋体"/>
          <w:sz w:val="24"/>
        </w:rPr>
        <w:t>四、我公司在参加本次采购活动前3年内，在经营活动中没有重大违法记录，也无行贿犯罪记录。</w:t>
      </w:r>
    </w:p>
    <w:p>
      <w:pPr>
        <w:spacing w:line="360"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五、我公司承诺</w:t>
      </w:r>
      <w:r>
        <w:rPr>
          <w:rFonts w:hint="eastAsia" w:ascii="宋体" w:hAnsi="宋体"/>
          <w:sz w:val="24"/>
        </w:rPr>
        <w:t>具备履行合同所必需的设备和专业技术能力。</w:t>
      </w:r>
    </w:p>
    <w:p>
      <w:pPr>
        <w:spacing w:line="360" w:lineRule="auto"/>
        <w:ind w:firstLine="480" w:firstLineChars="200"/>
        <w:jc w:val="left"/>
        <w:rPr>
          <w:rFonts w:ascii="宋体" w:hAnsi="宋体"/>
          <w:sz w:val="24"/>
        </w:rPr>
      </w:pPr>
      <w:r>
        <w:rPr>
          <w:rFonts w:hint="eastAsia" w:ascii="宋体" w:hAnsi="宋体"/>
          <w:sz w:val="24"/>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sz w:val="24"/>
        </w:rPr>
      </w:pPr>
      <w:r>
        <w:rPr>
          <w:rFonts w:hint="eastAsia" w:ascii="宋体" w:hAnsi="宋体"/>
          <w:sz w:val="24"/>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rPr>
        <w:t>”。</w:t>
      </w:r>
    </w:p>
    <w:p>
      <w:pPr>
        <w:spacing w:line="360" w:lineRule="auto"/>
        <w:ind w:firstLine="480" w:firstLineChars="200"/>
        <w:jc w:val="left"/>
        <w:rPr>
          <w:rFonts w:ascii="宋体" w:hAnsi="宋体" w:cs="宋体"/>
          <w:sz w:val="24"/>
        </w:rPr>
      </w:pPr>
      <w:r>
        <w:rPr>
          <w:rFonts w:hint="eastAsia" w:ascii="宋体" w:hAnsi="宋体"/>
          <w:sz w:val="24"/>
        </w:rPr>
        <w:t>八、</w:t>
      </w:r>
      <w:r>
        <w:rPr>
          <w:rFonts w:hint="eastAsia" w:ascii="宋体" w:hAnsi="宋体" w:cs="宋体"/>
          <w:sz w:val="24"/>
        </w:rPr>
        <w:t>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pPr>
        <w:spacing w:line="360" w:lineRule="auto"/>
        <w:ind w:firstLine="480" w:firstLineChars="200"/>
        <w:jc w:val="left"/>
        <w:rPr>
          <w:rFonts w:ascii="宋体" w:hAnsi="宋体" w:cs="宋体"/>
          <w:kern w:val="0"/>
          <w:sz w:val="24"/>
          <w:shd w:val="clear" w:color="auto" w:fill="FFFFFF"/>
        </w:rPr>
      </w:pPr>
      <w:r>
        <w:rPr>
          <w:rFonts w:hint="eastAsia" w:ascii="宋体" w:hAnsi="宋体" w:cs="宋体"/>
          <w:sz w:val="24"/>
        </w:rPr>
        <w:t>九、</w:t>
      </w:r>
      <w:r>
        <w:rPr>
          <w:rFonts w:hint="eastAsia" w:ascii="宋体" w:hAnsi="宋体"/>
          <w:sz w:val="24"/>
        </w:rPr>
        <w:t>我公司已理解且完全响应本项目网上竞价文件的各项要求。</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十、以</w:t>
      </w:r>
      <w:r>
        <w:rPr>
          <w:rFonts w:hint="eastAsia" w:ascii="宋体" w:hAnsi="宋体" w:cs="宋体"/>
          <w:kern w:val="0"/>
          <w:sz w:val="24"/>
          <w:u w:val="single"/>
          <w:shd w:val="clear" w:color="auto" w:fill="FFFFFF"/>
        </w:rPr>
        <w:t>      </w:t>
      </w:r>
      <w:r>
        <w:rPr>
          <w:rStyle w:val="31"/>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31"/>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十一、我方获得成交资格后若无法按约定条款履行义务，采购人有权取消我方成交资格，我方完全接受按有关法规对我方的处罚。</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十二、我方同意提供网上竞价文件要求的一切数据或资料。完全理解贵方不一定要接受收到的任何竞价。</w:t>
      </w:r>
    </w:p>
    <w:p>
      <w:pPr>
        <w:widowControl/>
        <w:spacing w:line="360" w:lineRule="auto"/>
        <w:jc w:val="left"/>
        <w:rPr>
          <w:rFonts w:ascii="宋体" w:hAnsi="宋体" w:cs="宋体"/>
          <w:kern w:val="0"/>
          <w:sz w:val="24"/>
          <w:shd w:val="clear" w:color="auto" w:fill="FFFFFF"/>
        </w:rPr>
      </w:pPr>
    </w:p>
    <w:p>
      <w:pPr>
        <w:widowControl/>
        <w:spacing w:line="360" w:lineRule="auto"/>
        <w:jc w:val="left"/>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       </w:t>
      </w:r>
      <w:r>
        <w:rPr>
          <w:rStyle w:val="31"/>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pPr>
        <w:widowControl/>
        <w:spacing w:line="360" w:lineRule="auto"/>
        <w:jc w:val="left"/>
        <w:rPr>
          <w:rFonts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pPr>
        <w:widowControl/>
        <w:spacing w:line="360" w:lineRule="auto"/>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31"/>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31"/>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31"/>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pPr>
        <w:spacing w:line="360" w:lineRule="auto"/>
        <w:rPr>
          <w:rFonts w:ascii="宋体" w:hAnsi="宋体" w:cs="宋体"/>
          <w:sz w:val="24"/>
        </w:rPr>
        <w:sectPr>
          <w:pgSz w:w="11906" w:h="16838"/>
          <w:pgMar w:top="1247" w:right="924" w:bottom="1089" w:left="1259" w:header="851" w:footer="646" w:gutter="0"/>
          <w:cols w:space="720" w:num="1"/>
          <w:docGrid w:linePitch="312" w:charSpace="0"/>
        </w:sectPr>
      </w:pPr>
    </w:p>
    <w:p>
      <w:pPr>
        <w:pStyle w:val="28"/>
        <w:spacing w:line="360" w:lineRule="auto"/>
        <w:jc w:val="center"/>
        <w:outlineLvl w:val="9"/>
        <w:rPr>
          <w:rFonts w:hAnsi="宋体" w:cs="宋体"/>
          <w:b/>
          <w:szCs w:val="28"/>
        </w:rPr>
      </w:pPr>
      <w:r>
        <w:rPr>
          <w:rFonts w:hint="eastAsia" w:hAnsi="宋体" w:cs="宋体"/>
          <w:b/>
          <w:szCs w:val="28"/>
        </w:rPr>
        <w:t>2、有效营业执照复印件等证明文件</w:t>
      </w:r>
    </w:p>
    <w:p>
      <w:pPr>
        <w:pStyle w:val="28"/>
        <w:spacing w:line="360" w:lineRule="auto"/>
        <w:jc w:val="center"/>
        <w:outlineLvl w:val="9"/>
        <w:rPr>
          <w:rFonts w:hAnsi="宋体" w:cs="宋体"/>
          <w:b/>
          <w:szCs w:val="28"/>
        </w:rPr>
      </w:pPr>
    </w:p>
    <w:p>
      <w:pPr>
        <w:spacing w:line="360" w:lineRule="auto"/>
      </w:pPr>
    </w:p>
    <w:p>
      <w:pPr>
        <w:spacing w:line="360" w:lineRule="auto"/>
      </w:pPr>
    </w:p>
    <w:p>
      <w:pPr>
        <w:spacing w:line="360" w:lineRule="auto"/>
      </w:pPr>
    </w:p>
    <w:p>
      <w:pPr>
        <w:tabs>
          <w:tab w:val="center" w:pos="4861"/>
        </w:tabs>
        <w:spacing w:line="360" w:lineRule="auto"/>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pPr>
        <w:pStyle w:val="28"/>
        <w:spacing w:line="360" w:lineRule="auto"/>
        <w:jc w:val="center"/>
        <w:outlineLvl w:val="9"/>
        <w:rPr>
          <w:rFonts w:hAnsi="宋体" w:cs="宋体"/>
          <w:b/>
          <w:szCs w:val="28"/>
        </w:rPr>
      </w:pPr>
      <w:r>
        <w:rPr>
          <w:rFonts w:hint="eastAsia" w:hAnsi="宋体" w:cs="宋体"/>
          <w:b/>
          <w:szCs w:val="28"/>
        </w:rPr>
        <w:t>3、单位授权书</w:t>
      </w:r>
    </w:p>
    <w:p>
      <w:pPr>
        <w:pStyle w:val="16"/>
        <w:spacing w:before="0" w:beforeAutospacing="0" w:after="0" w:afterAutospacing="0" w:line="360" w:lineRule="auto"/>
      </w:pPr>
      <w:r>
        <w:rPr>
          <w:rFonts w:hint="eastAsia"/>
        </w:rPr>
        <w:t>致：</w:t>
      </w:r>
      <w:r>
        <w:rPr>
          <w:rFonts w:hint="eastAsia"/>
          <w:u w:val="single"/>
        </w:rPr>
        <w:t>（采购人或采购代理机构）</w:t>
      </w:r>
    </w:p>
    <w:p>
      <w:pPr>
        <w:pStyle w:val="16"/>
        <w:spacing w:before="0" w:beforeAutospacing="0" w:after="0" w:afterAutospacing="0" w:line="360" w:lineRule="auto"/>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6"/>
        <w:spacing w:before="0" w:beforeAutospacing="0" w:after="0" w:afterAutospacing="0" w:line="360" w:lineRule="auto"/>
        <w:ind w:firstLine="336"/>
      </w:pPr>
      <w:r>
        <w:rPr>
          <w:rFonts w:hint="eastAsia"/>
        </w:rPr>
        <w:t>供应商代表无转委权。特此授权。</w:t>
      </w:r>
    </w:p>
    <w:p>
      <w:pPr>
        <w:pStyle w:val="16"/>
        <w:spacing w:before="0" w:beforeAutospacing="0" w:after="0" w:afterAutospacing="0" w:line="360" w:lineRule="auto"/>
        <w:jc w:val="center"/>
        <w:outlineLvl w:val="0"/>
      </w:pPr>
      <w:r>
        <w:rPr>
          <w:rFonts w:hint="eastAsia"/>
        </w:rPr>
        <w:t>（以下无正文）</w:t>
      </w:r>
    </w:p>
    <w:p>
      <w:pPr>
        <w:pStyle w:val="16"/>
        <w:spacing w:before="0" w:beforeAutospacing="0" w:after="0" w:afterAutospacing="0" w:line="360" w:lineRule="auto"/>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6"/>
        <w:spacing w:before="0" w:beforeAutospacing="0" w:after="0" w:afterAutospacing="0" w:line="360" w:lineRule="auto"/>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6"/>
        <w:spacing w:before="0" w:beforeAutospacing="0" w:after="0" w:afterAutospacing="0" w:line="360" w:lineRule="auto"/>
      </w:pPr>
      <w:r>
        <w:rPr>
          <w:rFonts w:hint="eastAsia"/>
        </w:rPr>
        <w:t> </w:t>
      </w:r>
    </w:p>
    <w:p>
      <w:pPr>
        <w:pStyle w:val="16"/>
        <w:spacing w:before="0" w:beforeAutospacing="0" w:after="0" w:afterAutospacing="0" w:line="360" w:lineRule="auto"/>
      </w:pPr>
      <w:r>
        <w:rPr>
          <w:rFonts w:hint="eastAsia"/>
        </w:rPr>
        <w:t>授权方</w:t>
      </w:r>
    </w:p>
    <w:p>
      <w:pPr>
        <w:pStyle w:val="16"/>
        <w:spacing w:before="0" w:beforeAutospacing="0" w:after="0" w:afterAutospacing="0" w:line="360" w:lineRule="auto"/>
      </w:pPr>
      <w:r>
        <w:rPr>
          <w:rFonts w:hint="eastAsia"/>
        </w:rPr>
        <w:t>供应商：</w:t>
      </w:r>
      <w:r>
        <w:rPr>
          <w:rFonts w:hint="eastAsia"/>
          <w:u w:val="single"/>
        </w:rPr>
        <w:t>（全称并加盖单位公章）</w:t>
      </w:r>
    </w:p>
    <w:p>
      <w:pPr>
        <w:pStyle w:val="16"/>
        <w:spacing w:before="0" w:beforeAutospacing="0" w:after="0" w:afterAutospacing="0" w:line="360" w:lineRule="auto"/>
      </w:pPr>
      <w:r>
        <w:rPr>
          <w:rFonts w:hint="eastAsia"/>
        </w:rPr>
        <w:t>单位负责人签字或盖章：</w:t>
      </w:r>
      <w:r>
        <w:rPr>
          <w:rFonts w:hint="eastAsia"/>
          <w:u w:val="single"/>
        </w:rPr>
        <w:t>                   </w:t>
      </w:r>
    </w:p>
    <w:p>
      <w:pPr>
        <w:pStyle w:val="16"/>
        <w:spacing w:before="0" w:beforeAutospacing="0" w:after="0" w:afterAutospacing="0" w:line="360" w:lineRule="auto"/>
      </w:pPr>
      <w:r>
        <w:rPr>
          <w:rFonts w:hint="eastAsia"/>
        </w:rPr>
        <w:t> </w:t>
      </w:r>
    </w:p>
    <w:p>
      <w:pPr>
        <w:pStyle w:val="16"/>
        <w:spacing w:before="0" w:beforeAutospacing="0" w:after="0" w:afterAutospacing="0" w:line="360" w:lineRule="auto"/>
      </w:pPr>
      <w:r>
        <w:rPr>
          <w:rFonts w:hint="eastAsia"/>
        </w:rPr>
        <w:t>接受授权方</w:t>
      </w:r>
    </w:p>
    <w:p>
      <w:pPr>
        <w:pStyle w:val="16"/>
        <w:spacing w:before="0" w:beforeAutospacing="0" w:after="0" w:afterAutospacing="0" w:line="360" w:lineRule="auto"/>
      </w:pPr>
      <w:r>
        <w:rPr>
          <w:rFonts w:hint="eastAsia"/>
        </w:rPr>
        <w:t>供应商代表签字：</w:t>
      </w:r>
      <w:r>
        <w:rPr>
          <w:rFonts w:hint="eastAsia"/>
          <w:u w:val="single"/>
        </w:rPr>
        <w:t>                   </w:t>
      </w:r>
    </w:p>
    <w:p>
      <w:pPr>
        <w:pStyle w:val="16"/>
        <w:spacing w:before="0" w:beforeAutospacing="0" w:after="0" w:afterAutospacing="0" w:line="360" w:lineRule="auto"/>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6"/>
        <w:spacing w:before="0" w:beforeAutospacing="0" w:after="0" w:afterAutospacing="0" w:line="360" w:lineRule="auto"/>
      </w:pPr>
      <w:r>
        <w:rPr>
          <w:rFonts w:hint="eastAsia"/>
        </w:rPr>
        <w:t>附：单位负责人、供应商代表的身份证正反面复印件</w:t>
      </w:r>
    </w:p>
    <w:tbl>
      <w:tblPr>
        <w:tblStyle w:val="21"/>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6"/>
              <w:spacing w:before="0" w:beforeAutospacing="0" w:after="0" w:afterAutospacing="0" w:line="360" w:lineRule="auto"/>
              <w:jc w:val="center"/>
            </w:pPr>
            <w:r>
              <w:rPr>
                <w:rStyle w:val="24"/>
                <w:rFonts w:hint="eastAsia"/>
              </w:rPr>
              <w:t> </w:t>
            </w:r>
          </w:p>
          <w:p>
            <w:pPr>
              <w:pStyle w:val="16"/>
              <w:spacing w:before="0" w:beforeAutospacing="0" w:after="0" w:afterAutospacing="0" w:line="360" w:lineRule="auto"/>
              <w:jc w:val="center"/>
            </w:pPr>
            <w:r>
              <w:rPr>
                <w:rStyle w:val="24"/>
                <w:rFonts w:hint="eastAsia"/>
              </w:rPr>
              <w:t>要求：真实有效且内容完整、清晰、整洁。</w:t>
            </w:r>
          </w:p>
          <w:p>
            <w:pPr>
              <w:pStyle w:val="16"/>
              <w:spacing w:before="0" w:beforeAutospacing="0" w:after="0" w:afterAutospacing="0" w:line="360" w:lineRule="auto"/>
              <w:jc w:val="center"/>
            </w:pPr>
            <w:r>
              <w:rPr>
                <w:rStyle w:val="24"/>
                <w:rFonts w:hint="eastAsia"/>
              </w:rPr>
              <w:t> </w:t>
            </w:r>
          </w:p>
        </w:tc>
      </w:tr>
    </w:tbl>
    <w:p>
      <w:pPr>
        <w:spacing w:line="360" w:lineRule="auto"/>
        <w:rPr>
          <w:rFonts w:ascii="宋体" w:hAnsi="宋体" w:cs="宋体"/>
          <w:bCs/>
          <w:kern w:val="0"/>
          <w:sz w:val="24"/>
        </w:rPr>
      </w:pPr>
      <w:r>
        <w:rPr>
          <w:rFonts w:hint="eastAsia" w:ascii="宋体" w:hAnsi="宋体" w:cs="宋体"/>
          <w:sz w:val="24"/>
        </w:rPr>
        <w:t>注：1、法定代表人（单位负责人）身份证复印件、被授权人身份证复印件须</w:t>
      </w:r>
      <w:r>
        <w:rPr>
          <w:rFonts w:hint="eastAsia" w:ascii="宋体" w:hAnsi="宋体" w:cs="宋体"/>
          <w:bCs/>
          <w:kern w:val="0"/>
          <w:sz w:val="24"/>
        </w:rPr>
        <w:t>加盖单位公章。</w:t>
      </w:r>
    </w:p>
    <w:p>
      <w:pPr>
        <w:spacing w:line="360" w:lineRule="auto"/>
        <w:ind w:firstLine="420"/>
        <w:rPr>
          <w:rFonts w:ascii="宋体" w:hAnsi="宋体" w:cs="宋体"/>
          <w:bCs/>
          <w:kern w:val="0"/>
          <w:sz w:val="24"/>
        </w:rPr>
      </w:pPr>
      <w:r>
        <w:rPr>
          <w:rFonts w:hint="eastAsia" w:ascii="宋体" w:hAnsi="宋体" w:cs="宋体"/>
          <w:bCs/>
          <w:kern w:val="0"/>
          <w:sz w:val="24"/>
        </w:rPr>
        <w:t>2、</w:t>
      </w:r>
      <w:r>
        <w:rPr>
          <w:rFonts w:ascii="宋体" w:hAnsi="宋体" w:cs="宋体"/>
          <w:bCs/>
          <w:kern w:val="0"/>
          <w:sz w:val="24"/>
        </w:rPr>
        <w:t>企业、事业单位和社会团体法人的“单位负责人”指法定代表人，即与实际提交的“营业执照等证明文件”载明的一致。以非法人身份参加</w:t>
      </w:r>
      <w:r>
        <w:rPr>
          <w:rFonts w:hint="eastAsia" w:ascii="宋体" w:hAnsi="宋体" w:cs="宋体"/>
          <w:bCs/>
          <w:kern w:val="0"/>
          <w:sz w:val="24"/>
        </w:rPr>
        <w:t>报价</w:t>
      </w:r>
      <w:r>
        <w:rPr>
          <w:rFonts w:ascii="宋体" w:hAnsi="宋体" w:cs="宋体"/>
          <w:bCs/>
          <w:kern w:val="0"/>
          <w:sz w:val="24"/>
        </w:rPr>
        <w:t>的，“单位负责人”指代表单位行使职权的主要负责人，即与实际提交的“营业执照等证明文件”载明的一致。</w:t>
      </w:r>
      <w:r>
        <w:rPr>
          <w:rFonts w:hint="eastAsia" w:ascii="宋体" w:hAnsi="宋体" w:cs="宋体"/>
          <w:bCs/>
          <w:kern w:val="0"/>
          <w:sz w:val="24"/>
        </w:rPr>
        <w:t>供应商</w:t>
      </w:r>
      <w:r>
        <w:rPr>
          <w:rFonts w:ascii="宋体" w:hAnsi="宋体" w:cs="宋体"/>
          <w:bCs/>
          <w:kern w:val="0"/>
          <w:sz w:val="24"/>
        </w:rPr>
        <w:t>（自然人除外）：若</w:t>
      </w:r>
      <w:r>
        <w:rPr>
          <w:rFonts w:hint="eastAsia" w:ascii="宋体" w:hAnsi="宋体" w:cs="宋体"/>
          <w:bCs/>
          <w:kern w:val="0"/>
          <w:sz w:val="24"/>
        </w:rPr>
        <w:t>供应商代表</w:t>
      </w:r>
      <w:r>
        <w:rPr>
          <w:rFonts w:ascii="宋体" w:hAnsi="宋体" w:cs="宋体"/>
          <w:bCs/>
          <w:kern w:val="0"/>
          <w:sz w:val="24"/>
        </w:rPr>
        <w:t>为单位负责人授权的委托代理人，应提供本授权书；若</w:t>
      </w:r>
      <w:r>
        <w:rPr>
          <w:rFonts w:hint="eastAsia" w:ascii="宋体" w:hAnsi="宋体" w:cs="宋体"/>
          <w:bCs/>
          <w:kern w:val="0"/>
          <w:sz w:val="24"/>
        </w:rPr>
        <w:t>供应商代表</w:t>
      </w:r>
      <w:r>
        <w:rPr>
          <w:rFonts w:ascii="宋体" w:hAnsi="宋体" w:cs="宋体"/>
          <w:bCs/>
          <w:kern w:val="0"/>
          <w:sz w:val="24"/>
        </w:rPr>
        <w:t>为单位负责人，应在此项下提交其身份证正反面复印件，可不提供本授权书。</w:t>
      </w:r>
    </w:p>
    <w:p>
      <w:pPr>
        <w:spacing w:line="360" w:lineRule="auto"/>
        <w:jc w:val="center"/>
        <w:outlineLvl w:val="2"/>
        <w:rPr>
          <w:rFonts w:ascii="宋体" w:hAnsi="宋体"/>
          <w:b/>
          <w:sz w:val="32"/>
          <w:szCs w:val="22"/>
        </w:rPr>
      </w:pPr>
      <w:r>
        <w:rPr>
          <w:rFonts w:hint="eastAsia" w:ascii="宋体" w:hAnsi="宋体"/>
          <w:b/>
          <w:sz w:val="32"/>
          <w:szCs w:val="22"/>
        </w:rPr>
        <w:t>4.特定资格要求（若有）</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outlineLvl w:val="2"/>
        <w:rPr>
          <w:rFonts w:ascii="宋体" w:hAnsi="宋体"/>
          <w:b/>
          <w:sz w:val="32"/>
          <w:szCs w:val="22"/>
        </w:rPr>
      </w:pPr>
    </w:p>
    <w:p>
      <w:pPr>
        <w:pStyle w:val="5"/>
        <w:spacing w:line="360" w:lineRule="auto"/>
        <w:rPr>
          <w:rFonts w:ascii="Times New Roman" w:hAnsi="Times New Roman"/>
        </w:rPr>
      </w:pPr>
    </w:p>
    <w:p>
      <w:pPr>
        <w:spacing w:line="360" w:lineRule="auto"/>
        <w:rPr>
          <w:rFonts w:ascii="Times New Roman" w:hAnsi="Times New Roman"/>
          <w:b/>
          <w:sz w:val="32"/>
        </w:rPr>
      </w:pPr>
    </w:p>
    <w:p>
      <w:pPr>
        <w:pStyle w:val="5"/>
        <w:spacing w:line="360" w:lineRule="auto"/>
        <w:rPr>
          <w:rFonts w:ascii="Times New Roman" w:hAnsi="Times New Roman"/>
        </w:rPr>
      </w:pPr>
    </w:p>
    <w:p>
      <w:pPr>
        <w:spacing w:line="360" w:lineRule="auto"/>
        <w:rPr>
          <w:rFonts w:ascii="Times New Roman" w:hAnsi="Times New Roman"/>
          <w:b/>
          <w:sz w:val="32"/>
        </w:rPr>
      </w:pPr>
    </w:p>
    <w:p>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pPr>
        <w:pStyle w:val="32"/>
        <w:spacing w:line="360" w:lineRule="auto"/>
        <w:jc w:val="center"/>
        <w:outlineLvl w:val="2"/>
        <w:rPr>
          <w:rFonts w:hint="default" w:ascii="宋体" w:hAnsi="宋体" w:cs="宋体"/>
          <w:sz w:val="24"/>
          <w:szCs w:val="24"/>
        </w:rPr>
      </w:pPr>
      <w:r>
        <w:rPr>
          <w:rFonts w:ascii="宋体" w:hAnsi="宋体" w:cs="宋体"/>
          <w:bCs/>
          <w:sz w:val="24"/>
          <w:szCs w:val="24"/>
        </w:rPr>
        <w:t>（1）</w:t>
      </w:r>
      <w:r>
        <w:rPr>
          <w:rFonts w:ascii="宋体" w:hAnsi="宋体" w:cs="宋体"/>
          <w:sz w:val="24"/>
          <w:szCs w:val="24"/>
        </w:rPr>
        <w:t>标的说明一览表</w:t>
      </w:r>
    </w:p>
    <w:p>
      <w:pPr>
        <w:pStyle w:val="32"/>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21"/>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2"/>
              <w:spacing w:line="360" w:lineRule="auto"/>
              <w:jc w:val="center"/>
              <w:rPr>
                <w:rFonts w:hint="default" w:ascii="宋体" w:hAnsi="宋体" w:cs="宋体"/>
                <w:sz w:val="24"/>
                <w:szCs w:val="24"/>
              </w:rPr>
            </w:pPr>
            <w:r>
              <w:rPr>
                <w:rFonts w:ascii="宋体" w:hAnsi="宋体" w:cs="宋体"/>
                <w:sz w:val="24"/>
                <w:szCs w:val="24"/>
              </w:rPr>
              <w:t>合同包</w:t>
            </w:r>
          </w:p>
        </w:tc>
        <w:tc>
          <w:tcPr>
            <w:tcW w:w="1014" w:type="dxa"/>
          </w:tcPr>
          <w:p>
            <w:pPr>
              <w:pStyle w:val="32"/>
              <w:spacing w:line="360" w:lineRule="auto"/>
              <w:jc w:val="center"/>
              <w:rPr>
                <w:rFonts w:hint="default" w:ascii="宋体" w:hAnsi="宋体" w:cs="宋体"/>
                <w:sz w:val="24"/>
                <w:szCs w:val="24"/>
              </w:rPr>
            </w:pPr>
            <w:r>
              <w:rPr>
                <w:rFonts w:ascii="宋体" w:hAnsi="宋体" w:cs="宋体"/>
                <w:sz w:val="24"/>
                <w:szCs w:val="24"/>
              </w:rPr>
              <w:t>品目号</w:t>
            </w:r>
          </w:p>
        </w:tc>
        <w:tc>
          <w:tcPr>
            <w:tcW w:w="2500" w:type="dxa"/>
          </w:tcPr>
          <w:p>
            <w:pPr>
              <w:pStyle w:val="32"/>
              <w:spacing w:line="360" w:lineRule="auto"/>
              <w:jc w:val="center"/>
              <w:rPr>
                <w:rFonts w:hint="default" w:ascii="宋体" w:hAnsi="宋体" w:cs="宋体"/>
                <w:sz w:val="24"/>
                <w:szCs w:val="24"/>
              </w:rPr>
            </w:pPr>
            <w:r>
              <w:rPr>
                <w:rFonts w:ascii="宋体" w:hAnsi="宋体" w:cs="宋体"/>
                <w:sz w:val="24"/>
                <w:szCs w:val="24"/>
              </w:rPr>
              <w:t>货物名称</w:t>
            </w:r>
          </w:p>
        </w:tc>
        <w:tc>
          <w:tcPr>
            <w:tcW w:w="2178" w:type="dxa"/>
          </w:tcPr>
          <w:p>
            <w:pPr>
              <w:pStyle w:val="32"/>
              <w:spacing w:line="360" w:lineRule="auto"/>
              <w:jc w:val="center"/>
              <w:rPr>
                <w:rFonts w:hint="default" w:ascii="宋体" w:hAnsi="宋体" w:cs="宋体"/>
                <w:sz w:val="24"/>
                <w:szCs w:val="24"/>
              </w:rPr>
            </w:pPr>
            <w:r>
              <w:rPr>
                <w:rFonts w:ascii="宋体" w:hAnsi="宋体" w:cs="宋体"/>
                <w:sz w:val="24"/>
                <w:szCs w:val="24"/>
              </w:rPr>
              <w:t>数量</w:t>
            </w:r>
          </w:p>
        </w:tc>
        <w:tc>
          <w:tcPr>
            <w:tcW w:w="946" w:type="dxa"/>
          </w:tcPr>
          <w:p>
            <w:pPr>
              <w:pStyle w:val="32"/>
              <w:spacing w:line="360" w:lineRule="auto"/>
              <w:jc w:val="center"/>
              <w:rPr>
                <w:rFonts w:hint="default" w:ascii="宋体" w:hAnsi="宋体" w:cs="宋体"/>
                <w:sz w:val="24"/>
                <w:szCs w:val="24"/>
              </w:rPr>
            </w:pPr>
            <w:r>
              <w:rPr>
                <w:rFonts w:ascii="宋体" w:hAnsi="宋体" w:cs="宋体"/>
                <w:sz w:val="24"/>
                <w:szCs w:val="24"/>
              </w:rPr>
              <w:t>规格</w:t>
            </w:r>
          </w:p>
        </w:tc>
        <w:tc>
          <w:tcPr>
            <w:tcW w:w="1662" w:type="dxa"/>
          </w:tcPr>
          <w:p>
            <w:pPr>
              <w:pStyle w:val="32"/>
              <w:spacing w:line="360" w:lineRule="auto"/>
              <w:jc w:val="center"/>
              <w:rPr>
                <w:rFonts w:hint="default" w:ascii="宋体" w:hAnsi="宋体" w:cs="宋体"/>
                <w:sz w:val="24"/>
                <w:szCs w:val="24"/>
              </w:rPr>
            </w:pPr>
            <w:r>
              <w:rPr>
                <w:rFonts w:ascii="宋体" w:hAnsi="宋体" w:cs="宋体"/>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2"/>
              <w:spacing w:line="360" w:lineRule="auto"/>
              <w:jc w:val="both"/>
              <w:rPr>
                <w:rFonts w:hint="default" w:ascii="宋体" w:hAnsi="宋体" w:cs="宋体"/>
                <w:sz w:val="24"/>
                <w:szCs w:val="24"/>
              </w:rPr>
            </w:pPr>
            <w:r>
              <w:rPr>
                <w:rFonts w:ascii="宋体" w:hAnsi="宋体" w:cs="宋体"/>
                <w:sz w:val="24"/>
                <w:szCs w:val="24"/>
              </w:rPr>
              <w:t>*</w:t>
            </w:r>
          </w:p>
        </w:tc>
        <w:tc>
          <w:tcPr>
            <w:tcW w:w="1014" w:type="dxa"/>
          </w:tcPr>
          <w:p>
            <w:pPr>
              <w:pStyle w:val="32"/>
              <w:spacing w:line="360" w:lineRule="auto"/>
              <w:jc w:val="both"/>
              <w:rPr>
                <w:rFonts w:hint="default" w:ascii="宋体" w:hAnsi="宋体" w:cs="宋体"/>
                <w:sz w:val="24"/>
                <w:szCs w:val="24"/>
              </w:rPr>
            </w:pPr>
            <w:r>
              <w:rPr>
                <w:rFonts w:ascii="宋体" w:hAnsi="宋体" w:cs="宋体"/>
                <w:sz w:val="24"/>
                <w:szCs w:val="24"/>
              </w:rPr>
              <w:t>*-1</w:t>
            </w:r>
          </w:p>
        </w:tc>
        <w:tc>
          <w:tcPr>
            <w:tcW w:w="2500" w:type="dxa"/>
          </w:tcPr>
          <w:p>
            <w:pPr>
              <w:spacing w:line="360" w:lineRule="auto"/>
              <w:rPr>
                <w:rFonts w:ascii="宋体" w:hAnsi="宋体" w:cs="宋体"/>
                <w:sz w:val="24"/>
              </w:rPr>
            </w:pPr>
          </w:p>
        </w:tc>
        <w:tc>
          <w:tcPr>
            <w:tcW w:w="2178" w:type="dxa"/>
          </w:tcPr>
          <w:p>
            <w:pPr>
              <w:spacing w:line="360" w:lineRule="auto"/>
              <w:rPr>
                <w:rFonts w:ascii="宋体" w:hAnsi="宋体" w:cs="宋体"/>
                <w:sz w:val="24"/>
              </w:rPr>
            </w:pPr>
          </w:p>
        </w:tc>
        <w:tc>
          <w:tcPr>
            <w:tcW w:w="946" w:type="dxa"/>
          </w:tcPr>
          <w:p>
            <w:pPr>
              <w:spacing w:line="360" w:lineRule="auto"/>
              <w:rPr>
                <w:rFonts w:ascii="宋体" w:hAnsi="宋体" w:cs="宋体"/>
                <w:sz w:val="24"/>
              </w:rPr>
            </w:pPr>
          </w:p>
        </w:tc>
        <w:tc>
          <w:tcPr>
            <w:tcW w:w="1662" w:type="dxa"/>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sz w:val="24"/>
              </w:rPr>
            </w:pPr>
          </w:p>
        </w:tc>
        <w:tc>
          <w:tcPr>
            <w:tcW w:w="1014" w:type="dxa"/>
          </w:tcPr>
          <w:p>
            <w:pPr>
              <w:pStyle w:val="32"/>
              <w:spacing w:line="360" w:lineRule="auto"/>
              <w:jc w:val="both"/>
              <w:rPr>
                <w:rFonts w:hint="default" w:ascii="宋体" w:hAnsi="宋体" w:cs="宋体"/>
                <w:sz w:val="24"/>
                <w:szCs w:val="24"/>
              </w:rPr>
            </w:pPr>
            <w:r>
              <w:rPr>
                <w:rFonts w:ascii="宋体" w:hAnsi="宋体" w:cs="宋体"/>
                <w:sz w:val="24"/>
                <w:szCs w:val="24"/>
              </w:rPr>
              <w:t>…</w:t>
            </w:r>
          </w:p>
        </w:tc>
        <w:tc>
          <w:tcPr>
            <w:tcW w:w="2500" w:type="dxa"/>
          </w:tcPr>
          <w:p>
            <w:pPr>
              <w:spacing w:line="360" w:lineRule="auto"/>
              <w:rPr>
                <w:rFonts w:ascii="宋体" w:hAnsi="宋体" w:cs="宋体"/>
                <w:sz w:val="24"/>
              </w:rPr>
            </w:pPr>
          </w:p>
        </w:tc>
        <w:tc>
          <w:tcPr>
            <w:tcW w:w="2178" w:type="dxa"/>
          </w:tcPr>
          <w:p>
            <w:pPr>
              <w:spacing w:line="360" w:lineRule="auto"/>
              <w:rPr>
                <w:rFonts w:ascii="宋体" w:hAnsi="宋体" w:cs="宋体"/>
                <w:sz w:val="24"/>
              </w:rPr>
            </w:pPr>
          </w:p>
        </w:tc>
        <w:tc>
          <w:tcPr>
            <w:tcW w:w="946" w:type="dxa"/>
          </w:tcPr>
          <w:p>
            <w:pPr>
              <w:spacing w:line="360" w:lineRule="auto"/>
              <w:rPr>
                <w:rFonts w:ascii="宋体" w:hAnsi="宋体" w:cs="宋体"/>
                <w:sz w:val="24"/>
              </w:rPr>
            </w:pPr>
          </w:p>
        </w:tc>
        <w:tc>
          <w:tcPr>
            <w:tcW w:w="1662" w:type="dxa"/>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2"/>
              <w:spacing w:line="360" w:lineRule="auto"/>
              <w:jc w:val="both"/>
              <w:rPr>
                <w:rFonts w:hint="default" w:ascii="宋体" w:hAnsi="宋体" w:cs="宋体"/>
                <w:sz w:val="24"/>
                <w:szCs w:val="24"/>
              </w:rPr>
            </w:pPr>
            <w:r>
              <w:rPr>
                <w:rFonts w:ascii="宋体" w:hAnsi="宋体" w:cs="宋体"/>
                <w:sz w:val="24"/>
                <w:szCs w:val="24"/>
              </w:rPr>
              <w:t>…</w:t>
            </w:r>
          </w:p>
        </w:tc>
        <w:tc>
          <w:tcPr>
            <w:tcW w:w="1014" w:type="dxa"/>
          </w:tcPr>
          <w:p>
            <w:pPr>
              <w:spacing w:line="360" w:lineRule="auto"/>
              <w:rPr>
                <w:rFonts w:ascii="宋体" w:hAnsi="宋体" w:cs="宋体"/>
                <w:sz w:val="24"/>
              </w:rPr>
            </w:pPr>
          </w:p>
        </w:tc>
        <w:tc>
          <w:tcPr>
            <w:tcW w:w="2500" w:type="dxa"/>
          </w:tcPr>
          <w:p>
            <w:pPr>
              <w:spacing w:line="360" w:lineRule="auto"/>
              <w:rPr>
                <w:rFonts w:ascii="宋体" w:hAnsi="宋体" w:cs="宋体"/>
                <w:sz w:val="24"/>
              </w:rPr>
            </w:pPr>
          </w:p>
        </w:tc>
        <w:tc>
          <w:tcPr>
            <w:tcW w:w="2178" w:type="dxa"/>
          </w:tcPr>
          <w:p>
            <w:pPr>
              <w:spacing w:line="360" w:lineRule="auto"/>
              <w:rPr>
                <w:rFonts w:ascii="宋体" w:hAnsi="宋体" w:cs="宋体"/>
                <w:sz w:val="24"/>
              </w:rPr>
            </w:pPr>
          </w:p>
        </w:tc>
        <w:tc>
          <w:tcPr>
            <w:tcW w:w="946" w:type="dxa"/>
          </w:tcPr>
          <w:p>
            <w:pPr>
              <w:spacing w:line="360" w:lineRule="auto"/>
              <w:rPr>
                <w:rFonts w:ascii="宋体" w:hAnsi="宋体" w:cs="宋体"/>
                <w:sz w:val="24"/>
              </w:rPr>
            </w:pPr>
          </w:p>
        </w:tc>
        <w:tc>
          <w:tcPr>
            <w:tcW w:w="1662" w:type="dxa"/>
          </w:tcPr>
          <w:p>
            <w:pPr>
              <w:spacing w:line="360" w:lineRule="auto"/>
              <w:rPr>
                <w:rFonts w:ascii="宋体" w:hAnsi="宋体" w:cs="宋体"/>
                <w:sz w:val="24"/>
              </w:rPr>
            </w:pPr>
          </w:p>
        </w:tc>
      </w:tr>
    </w:tbl>
    <w:p>
      <w:pPr>
        <w:pStyle w:val="32"/>
        <w:spacing w:line="360" w:lineRule="auto"/>
        <w:jc w:val="both"/>
        <w:rPr>
          <w:rFonts w:hint="default" w:ascii="宋体" w:hAnsi="宋体" w:cs="宋体"/>
          <w:sz w:val="24"/>
          <w:szCs w:val="24"/>
        </w:rPr>
      </w:pPr>
      <w:r>
        <w:rPr>
          <w:rFonts w:ascii="宋体" w:hAnsi="宋体" w:cs="宋体"/>
          <w:sz w:val="24"/>
          <w:szCs w:val="24"/>
        </w:rPr>
        <w:t>※注意：</w:t>
      </w:r>
    </w:p>
    <w:p>
      <w:pPr>
        <w:pStyle w:val="32"/>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pPr>
        <w:pStyle w:val="32"/>
        <w:spacing w:line="360" w:lineRule="auto"/>
        <w:ind w:firstLine="480"/>
        <w:jc w:val="both"/>
        <w:rPr>
          <w:rFonts w:hint="default" w:ascii="宋体" w:hAnsi="宋体" w:cs="宋体"/>
          <w:sz w:val="24"/>
          <w:szCs w:val="24"/>
        </w:rPr>
      </w:pPr>
      <w:r>
        <w:rPr>
          <w:rFonts w:ascii="宋体" w:hAnsi="宋体" w:cs="宋体"/>
          <w:sz w:val="24"/>
          <w:szCs w:val="24"/>
        </w:rPr>
        <w:t>1.1“采购包”、“品目号”、“货物名称”及“数量”应与第三章《采购标的一览表》中的有关内容（“采购包”、“品目号”、“货物名称/”及“数量”）保持一致。</w:t>
      </w:r>
    </w:p>
    <w:p>
      <w:pPr>
        <w:pStyle w:val="32"/>
        <w:spacing w:line="360" w:lineRule="auto"/>
        <w:ind w:firstLine="480"/>
        <w:jc w:val="both"/>
        <w:rPr>
          <w:rFonts w:hint="default" w:ascii="宋体" w:hAnsi="宋体" w:cs="宋体"/>
          <w:sz w:val="24"/>
          <w:szCs w:val="24"/>
        </w:rPr>
      </w:pPr>
      <w:r>
        <w:rPr>
          <w:rFonts w:ascii="宋体" w:hAnsi="宋体" w:cs="宋体"/>
          <w:sz w:val="24"/>
          <w:szCs w:val="24"/>
        </w:rPr>
        <w:t>1.2货物类项目：“规格”项下应填写货物制造厂商赋予的品牌（属于节能、环保清单产品的货物，填写的品牌名称应与清单载明的品牌名称保持一致）及具体型号。“来源地”应填写货物的原产地。</w:t>
      </w:r>
    </w:p>
    <w:p>
      <w:pPr>
        <w:pStyle w:val="32"/>
        <w:spacing w:line="360" w:lineRule="auto"/>
        <w:ind w:firstLine="480"/>
        <w:jc w:val="right"/>
        <w:rPr>
          <w:rFonts w:hint="default" w:ascii="宋体" w:hAnsi="宋体" w:cs="宋体"/>
          <w:sz w:val="24"/>
          <w:szCs w:val="24"/>
        </w:rPr>
      </w:pPr>
    </w:p>
    <w:p>
      <w:pPr>
        <w:pStyle w:val="32"/>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32"/>
        <w:spacing w:line="360" w:lineRule="auto"/>
        <w:jc w:val="both"/>
        <w:rPr>
          <w:rFonts w:hint="default" w:ascii="宋体" w:hAnsi="宋体" w:cs="宋体"/>
          <w:sz w:val="24"/>
          <w:szCs w:val="24"/>
        </w:rPr>
      </w:pPr>
    </w:p>
    <w:p>
      <w:pPr>
        <w:pStyle w:val="32"/>
        <w:spacing w:line="360" w:lineRule="auto"/>
        <w:jc w:val="both"/>
        <w:rPr>
          <w:rFonts w:hint="default" w:ascii="宋体" w:hAnsi="宋体" w:cs="宋体"/>
          <w:sz w:val="24"/>
          <w:szCs w:val="24"/>
        </w:rPr>
      </w:pPr>
    </w:p>
    <w:p>
      <w:pPr>
        <w:pStyle w:val="32"/>
        <w:spacing w:line="360" w:lineRule="auto"/>
        <w:jc w:val="both"/>
        <w:rPr>
          <w:rFonts w:hint="default" w:ascii="宋体" w:hAnsi="宋体" w:cs="宋体"/>
          <w:sz w:val="24"/>
          <w:szCs w:val="24"/>
        </w:rPr>
      </w:pPr>
    </w:p>
    <w:p>
      <w:pPr>
        <w:pStyle w:val="32"/>
        <w:spacing w:line="360" w:lineRule="auto"/>
        <w:jc w:val="both"/>
        <w:rPr>
          <w:rFonts w:hint="default" w:ascii="宋体" w:hAnsi="宋体" w:cs="宋体"/>
          <w:sz w:val="24"/>
          <w:szCs w:val="24"/>
        </w:rPr>
      </w:pPr>
    </w:p>
    <w:p>
      <w:pPr>
        <w:pStyle w:val="9"/>
        <w:spacing w:line="360" w:lineRule="auto"/>
        <w:ind w:left="0" w:leftChars="0"/>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rPr>
          <w:rFonts w:ascii="宋体" w:hAnsi="宋体" w:cs="宋体"/>
          <w:sz w:val="24"/>
        </w:rPr>
      </w:pPr>
      <w:r>
        <w:rPr>
          <w:rFonts w:ascii="宋体" w:hAnsi="宋体" w:cs="宋体"/>
          <w:sz w:val="24"/>
        </w:rPr>
        <w:br w:type="page"/>
      </w:r>
    </w:p>
    <w:p>
      <w:pPr>
        <w:pStyle w:val="10"/>
        <w:numPr>
          <w:ilvl w:val="0"/>
          <w:numId w:val="2"/>
        </w:numPr>
        <w:spacing w:line="360" w:lineRule="auto"/>
        <w:jc w:val="center"/>
        <w:rPr>
          <w:rFonts w:ascii="宋体" w:hAnsi="宋体" w:cs="宋体"/>
          <w:sz w:val="24"/>
        </w:rPr>
      </w:pPr>
      <w:r>
        <w:rPr>
          <w:rFonts w:hint="eastAsia" w:ascii="宋体" w:hAnsi="宋体" w:cs="宋体"/>
          <w:sz w:val="24"/>
        </w:rPr>
        <w:t>网上竞价内容及要求偏离表</w:t>
      </w:r>
    </w:p>
    <w:p>
      <w:pPr>
        <w:pStyle w:val="10"/>
        <w:spacing w:line="360" w:lineRule="auto"/>
        <w:rPr>
          <w:rFonts w:ascii="宋体" w:hAnsi="宋体" w:cs="宋体"/>
          <w:b/>
          <w:bCs/>
          <w:sz w:val="28"/>
          <w:szCs w:val="28"/>
        </w:rPr>
      </w:pPr>
    </w:p>
    <w:p>
      <w:pPr>
        <w:pStyle w:val="16"/>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21"/>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r>
              <w:rPr>
                <w:rFonts w:hint="eastAsia"/>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r>
              <w:rPr>
                <w:rFonts w:hint="eastAsia"/>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r>
              <w:rPr>
                <w:rFonts w:hint="eastAsia"/>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r>
              <w:rPr>
                <w:rFonts w:hint="eastAsia"/>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r>
    </w:tbl>
    <w:p>
      <w:pPr>
        <w:pStyle w:val="16"/>
        <w:spacing w:before="0" w:beforeAutospacing="0" w:after="0" w:afterAutospacing="0" w:line="360" w:lineRule="auto"/>
        <w:rPr>
          <w:b/>
          <w:bCs/>
        </w:rPr>
      </w:pPr>
      <w:r>
        <w:rPr>
          <w:rFonts w:hint="eastAsia"/>
          <w:b/>
          <w:bCs/>
        </w:rPr>
        <w:t>注：</w:t>
      </w:r>
    </w:p>
    <w:p>
      <w:pPr>
        <w:pStyle w:val="16"/>
        <w:numPr>
          <w:ilvl w:val="0"/>
          <w:numId w:val="3"/>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2"/>
        <w:spacing w:line="360" w:lineRule="auto"/>
        <w:ind w:firstLine="480"/>
        <w:jc w:val="right"/>
        <w:rPr>
          <w:rFonts w:hint="default" w:ascii="宋体" w:hAnsi="宋体" w:cs="宋体"/>
          <w:sz w:val="24"/>
          <w:szCs w:val="24"/>
        </w:rPr>
      </w:pPr>
    </w:p>
    <w:p>
      <w:pPr>
        <w:pStyle w:val="32"/>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9"/>
        <w:spacing w:line="360" w:lineRule="auto"/>
        <w:ind w:left="0" w:leftChars="0"/>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rPr>
          <w:rFonts w:ascii="宋体" w:hAnsi="宋体" w:cs="宋体"/>
          <w:b/>
          <w:bCs/>
          <w:sz w:val="28"/>
          <w:szCs w:val="28"/>
        </w:rPr>
      </w:pPr>
      <w:r>
        <w:rPr>
          <w:rFonts w:hint="eastAsia" w:ascii="宋体" w:hAnsi="宋体" w:cs="宋体"/>
          <w:b/>
          <w:bCs/>
          <w:sz w:val="28"/>
          <w:szCs w:val="28"/>
        </w:rPr>
        <w:br w:type="page"/>
      </w:r>
    </w:p>
    <w:p>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pPr>
        <w:pStyle w:val="9"/>
        <w:spacing w:line="360" w:lineRule="auto"/>
        <w:ind w:left="0" w:leftChars="0"/>
        <w:rPr>
          <w:rFonts w:ascii="宋体" w:hAnsi="宋体" w:cs="宋体"/>
          <w:b/>
          <w:bCs/>
          <w:sz w:val="28"/>
          <w:szCs w:val="28"/>
        </w:rPr>
      </w:pPr>
    </w:p>
    <w:p>
      <w:pPr>
        <w:pStyle w:val="10"/>
        <w:spacing w:line="360" w:lineRule="auto"/>
        <w:rPr>
          <w:rFonts w:ascii="宋体" w:hAnsi="宋体" w:cs="宋体"/>
          <w:b/>
          <w:bCs/>
          <w:sz w:val="28"/>
          <w:szCs w:val="28"/>
        </w:rPr>
      </w:pPr>
    </w:p>
    <w:p>
      <w:pPr>
        <w:pStyle w:val="10"/>
        <w:spacing w:line="360" w:lineRule="auto"/>
        <w:rPr>
          <w:rFonts w:ascii="宋体" w:hAnsi="宋体" w:cs="宋体"/>
          <w:b/>
          <w:bCs/>
          <w:sz w:val="28"/>
          <w:szCs w:val="28"/>
        </w:rPr>
      </w:pPr>
    </w:p>
    <w:p>
      <w:pPr>
        <w:pStyle w:val="9"/>
        <w:spacing w:line="360" w:lineRule="auto"/>
        <w:ind w:left="0" w:leftChars="0"/>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pPr>
        <w:pStyle w:val="10"/>
        <w:spacing w:line="360" w:lineRule="auto"/>
        <w:rPr>
          <w:rFonts w:ascii="宋体" w:hAnsi="宋体" w:cs="宋体"/>
          <w:b/>
          <w:bCs/>
          <w:sz w:val="28"/>
          <w:szCs w:val="28"/>
        </w:rPr>
      </w:pPr>
    </w:p>
    <w:p>
      <w:pPr>
        <w:pStyle w:val="32"/>
        <w:spacing w:line="360" w:lineRule="auto"/>
        <w:ind w:firstLine="480"/>
        <w:jc w:val="right"/>
        <w:rPr>
          <w:rFonts w:hint="default" w:ascii="宋体" w:hAnsi="宋体" w:cs="宋体"/>
          <w:sz w:val="24"/>
          <w:szCs w:val="24"/>
        </w:rPr>
      </w:pPr>
    </w:p>
    <w:p>
      <w:pPr>
        <w:pStyle w:val="32"/>
        <w:spacing w:line="360" w:lineRule="auto"/>
        <w:ind w:firstLine="480"/>
        <w:jc w:val="right"/>
        <w:rPr>
          <w:rFonts w:hint="default" w:ascii="宋体" w:hAnsi="宋体" w:cs="宋体"/>
          <w:sz w:val="24"/>
          <w:szCs w:val="24"/>
        </w:rPr>
      </w:pPr>
    </w:p>
    <w:p>
      <w:pPr>
        <w:pStyle w:val="32"/>
        <w:spacing w:line="360" w:lineRule="auto"/>
        <w:ind w:firstLine="480"/>
        <w:jc w:val="right"/>
        <w:rPr>
          <w:rFonts w:hint="default" w:ascii="宋体" w:hAnsi="宋体" w:cs="宋体"/>
          <w:sz w:val="24"/>
          <w:szCs w:val="24"/>
        </w:rPr>
      </w:pPr>
    </w:p>
    <w:p>
      <w:pPr>
        <w:pStyle w:val="32"/>
        <w:spacing w:line="360" w:lineRule="auto"/>
        <w:ind w:firstLine="480"/>
        <w:jc w:val="right"/>
        <w:rPr>
          <w:rFonts w:hint="default" w:ascii="宋体" w:hAnsi="宋体" w:cs="宋体"/>
          <w:sz w:val="24"/>
          <w:szCs w:val="24"/>
        </w:rPr>
      </w:pPr>
    </w:p>
    <w:p>
      <w:pPr>
        <w:pStyle w:val="32"/>
        <w:spacing w:line="360" w:lineRule="auto"/>
        <w:ind w:firstLine="480"/>
        <w:jc w:val="right"/>
        <w:rPr>
          <w:rFonts w:hint="default" w:ascii="宋体" w:hAnsi="宋体" w:cs="宋体"/>
          <w:sz w:val="24"/>
          <w:szCs w:val="24"/>
        </w:rPr>
      </w:pPr>
    </w:p>
    <w:p>
      <w:pPr>
        <w:pStyle w:val="32"/>
        <w:spacing w:line="360" w:lineRule="auto"/>
        <w:ind w:firstLine="480"/>
        <w:jc w:val="right"/>
        <w:rPr>
          <w:rFonts w:hint="default" w:ascii="宋体" w:hAnsi="宋体" w:cs="宋体"/>
          <w:sz w:val="24"/>
          <w:szCs w:val="24"/>
        </w:rPr>
      </w:pPr>
    </w:p>
    <w:p>
      <w:pPr>
        <w:pStyle w:val="32"/>
        <w:spacing w:line="360" w:lineRule="auto"/>
        <w:ind w:firstLine="480"/>
        <w:jc w:val="right"/>
        <w:rPr>
          <w:rFonts w:hint="default" w:ascii="宋体" w:hAnsi="宋体" w:cs="宋体"/>
          <w:sz w:val="24"/>
          <w:szCs w:val="24"/>
        </w:rPr>
      </w:pPr>
    </w:p>
    <w:p>
      <w:pPr>
        <w:pStyle w:val="32"/>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0"/>
        <w:spacing w:line="360" w:lineRule="auto"/>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rPr>
          <w:rFonts w:ascii="宋体" w:hAnsi="宋体" w:cs="宋体"/>
          <w:b/>
          <w:bCs/>
          <w:sz w:val="28"/>
          <w:szCs w:val="28"/>
        </w:rPr>
      </w:pPr>
      <w:r>
        <w:rPr>
          <w:rFonts w:hint="eastAsia" w:ascii="宋体" w:hAnsi="宋体" w:cs="宋体"/>
          <w:b/>
          <w:bCs/>
          <w:sz w:val="28"/>
          <w:szCs w:val="28"/>
        </w:rPr>
        <w:br w:type="page"/>
      </w:r>
    </w:p>
    <w:p>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10"/>
        <w:spacing w:line="360" w:lineRule="auto"/>
        <w:rPr>
          <w:rFonts w:ascii="宋体" w:hAnsi="宋体" w:cs="宋体"/>
          <w:b/>
          <w:bCs/>
          <w:sz w:val="28"/>
          <w:szCs w:val="28"/>
        </w:rPr>
      </w:pPr>
    </w:p>
    <w:p>
      <w:pPr>
        <w:pStyle w:val="32"/>
        <w:spacing w:line="360" w:lineRule="auto"/>
        <w:ind w:firstLine="480"/>
        <w:jc w:val="right"/>
        <w:rPr>
          <w:rFonts w:hint="default" w:ascii="宋体" w:hAnsi="宋体" w:cs="宋体"/>
          <w:sz w:val="24"/>
          <w:szCs w:val="24"/>
        </w:rPr>
      </w:pPr>
    </w:p>
    <w:p>
      <w:pPr>
        <w:pStyle w:val="32"/>
        <w:spacing w:line="360" w:lineRule="auto"/>
        <w:ind w:firstLine="480"/>
        <w:jc w:val="right"/>
        <w:rPr>
          <w:rFonts w:hint="default" w:ascii="宋体" w:hAnsi="宋体" w:cs="宋体"/>
          <w:sz w:val="24"/>
          <w:szCs w:val="24"/>
        </w:rPr>
      </w:pPr>
    </w:p>
    <w:p>
      <w:pPr>
        <w:pStyle w:val="32"/>
        <w:spacing w:line="360" w:lineRule="auto"/>
        <w:ind w:firstLine="480"/>
        <w:jc w:val="right"/>
        <w:rPr>
          <w:rFonts w:hint="default" w:ascii="宋体" w:hAnsi="宋体" w:cs="宋体"/>
          <w:sz w:val="24"/>
          <w:szCs w:val="24"/>
        </w:rPr>
      </w:pPr>
    </w:p>
    <w:p>
      <w:pPr>
        <w:pStyle w:val="32"/>
        <w:spacing w:line="360" w:lineRule="auto"/>
        <w:ind w:firstLine="480"/>
        <w:jc w:val="right"/>
        <w:rPr>
          <w:rFonts w:hint="default" w:ascii="宋体" w:hAnsi="宋体" w:cs="宋体"/>
          <w:sz w:val="24"/>
          <w:szCs w:val="24"/>
        </w:rPr>
      </w:pPr>
    </w:p>
    <w:p>
      <w:pPr>
        <w:pStyle w:val="32"/>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0"/>
        <w:spacing w:line="360" w:lineRule="auto"/>
        <w:rPr>
          <w:rFonts w:ascii="宋体" w:hAnsi="宋体" w:cs="宋体"/>
          <w:b/>
          <w:bCs/>
          <w:sz w:val="28"/>
          <w:szCs w:val="28"/>
        </w:rPr>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pPr>
        <w:pStyle w:val="6"/>
        <w:spacing w:line="360" w:lineRule="auto"/>
        <w:rPr>
          <w:rFonts w:ascii="楷体_GB2312" w:eastAsia="楷体_GB2312"/>
          <w:b/>
          <w:sz w:val="40"/>
          <w:szCs w:val="40"/>
        </w:rPr>
      </w:pPr>
    </w:p>
    <w:p>
      <w:pPr>
        <w:pStyle w:val="9"/>
        <w:spacing w:line="360" w:lineRule="auto"/>
        <w:rPr>
          <w:rFonts w:ascii="楷体_GB2312" w:eastAsia="楷体_GB2312"/>
          <w:b/>
          <w:sz w:val="40"/>
          <w:szCs w:val="40"/>
        </w:rPr>
      </w:pPr>
    </w:p>
    <w:p>
      <w:pPr>
        <w:pStyle w:val="6"/>
        <w:spacing w:line="360" w:lineRule="auto"/>
        <w:rPr>
          <w:rFonts w:ascii="楷体_GB2312" w:eastAsia="楷体_GB2312"/>
          <w:b/>
          <w:sz w:val="40"/>
          <w:szCs w:val="40"/>
        </w:rPr>
      </w:pPr>
    </w:p>
    <w:p>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10"/>
        <w:spacing w:line="360" w:lineRule="auto"/>
        <w:rPr>
          <w:rFonts w:ascii="宋体" w:hAnsi="宋体" w:cs="宋体"/>
          <w:b/>
          <w:bCs/>
          <w:sz w:val="28"/>
          <w:szCs w:val="28"/>
        </w:rPr>
      </w:pPr>
    </w:p>
    <w:p>
      <w:pPr>
        <w:pStyle w:val="32"/>
        <w:spacing w:line="360" w:lineRule="auto"/>
        <w:ind w:firstLine="480"/>
        <w:jc w:val="right"/>
        <w:rPr>
          <w:rFonts w:hint="default" w:ascii="宋体" w:hAnsi="宋体" w:cs="宋体"/>
          <w:sz w:val="24"/>
          <w:szCs w:val="24"/>
        </w:rPr>
      </w:pPr>
    </w:p>
    <w:p>
      <w:pPr>
        <w:pStyle w:val="32"/>
        <w:spacing w:line="360" w:lineRule="auto"/>
        <w:ind w:firstLine="480"/>
        <w:jc w:val="right"/>
        <w:rPr>
          <w:rFonts w:hint="default" w:ascii="宋体" w:hAnsi="宋体" w:cs="宋体"/>
          <w:sz w:val="24"/>
          <w:szCs w:val="24"/>
        </w:rPr>
      </w:pPr>
    </w:p>
    <w:p>
      <w:pPr>
        <w:pStyle w:val="32"/>
        <w:spacing w:line="360" w:lineRule="auto"/>
        <w:ind w:firstLine="480"/>
        <w:jc w:val="right"/>
        <w:rPr>
          <w:rFonts w:hint="default" w:ascii="宋体" w:hAnsi="宋体" w:cs="宋体"/>
          <w:sz w:val="24"/>
          <w:szCs w:val="24"/>
        </w:rPr>
      </w:pPr>
    </w:p>
    <w:p>
      <w:pPr>
        <w:pStyle w:val="32"/>
        <w:spacing w:line="360" w:lineRule="auto"/>
        <w:ind w:firstLine="480"/>
        <w:jc w:val="right"/>
        <w:rPr>
          <w:rFonts w:hint="default" w:ascii="宋体" w:hAnsi="宋体" w:cs="宋体"/>
          <w:sz w:val="24"/>
          <w:szCs w:val="24"/>
        </w:rPr>
      </w:pPr>
    </w:p>
    <w:p>
      <w:pPr>
        <w:pStyle w:val="32"/>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9"/>
        <w:spacing w:line="360" w:lineRule="auto"/>
        <w:rPr>
          <w:rFonts w:ascii="楷体_GB2312" w:eastAsia="楷体_GB2312"/>
          <w:b/>
          <w:sz w:val="44"/>
          <w:szCs w:val="44"/>
        </w:rPr>
      </w:pPr>
    </w:p>
    <w:p>
      <w:pPr>
        <w:pStyle w:val="6"/>
        <w:spacing w:line="360" w:lineRule="auto"/>
        <w:rPr>
          <w:rFonts w:ascii="楷体_GB2312" w:eastAsia="楷体_GB2312"/>
          <w:b/>
          <w:sz w:val="44"/>
          <w:szCs w:val="44"/>
        </w:rPr>
      </w:pPr>
    </w:p>
    <w:p>
      <w:pPr>
        <w:pStyle w:val="9"/>
        <w:spacing w:line="360" w:lineRule="auto"/>
        <w:rPr>
          <w:rFonts w:ascii="楷体_GB2312" w:eastAsia="楷体_GB2312"/>
          <w:b/>
          <w:sz w:val="44"/>
          <w:szCs w:val="44"/>
        </w:rPr>
      </w:pPr>
    </w:p>
    <w:p>
      <w:pPr>
        <w:pStyle w:val="6"/>
        <w:spacing w:line="360" w:lineRule="auto"/>
        <w:rPr>
          <w:rFonts w:ascii="楷体_GB2312" w:eastAsia="楷体_GB2312"/>
          <w:b/>
          <w:sz w:val="44"/>
          <w:szCs w:val="44"/>
        </w:rPr>
      </w:pPr>
    </w:p>
    <w:p>
      <w:pPr>
        <w:pStyle w:val="9"/>
        <w:spacing w:line="360" w:lineRule="auto"/>
        <w:rPr>
          <w:rFonts w:ascii="楷体_GB2312" w:eastAsia="楷体_GB2312"/>
          <w:b/>
          <w:sz w:val="44"/>
          <w:szCs w:val="44"/>
        </w:rPr>
      </w:pPr>
    </w:p>
    <w:p>
      <w:pPr>
        <w:pStyle w:val="6"/>
        <w:spacing w:line="360" w:lineRule="auto"/>
      </w:pPr>
    </w:p>
    <w:p>
      <w:pPr>
        <w:pStyle w:val="9"/>
        <w:spacing w:line="360" w:lineRule="auto"/>
        <w:rPr>
          <w:rFonts w:ascii="楷体_GB2312" w:eastAsia="楷体_GB2312"/>
          <w:b/>
          <w:sz w:val="44"/>
          <w:szCs w:val="44"/>
        </w:rPr>
      </w:pPr>
    </w:p>
    <w:p>
      <w:pPr>
        <w:pStyle w:val="6"/>
        <w:spacing w:line="360" w:lineRule="auto"/>
        <w:rPr>
          <w:rFonts w:ascii="楷体_GB2312" w:eastAsia="楷体_GB2312"/>
          <w:b/>
          <w:sz w:val="44"/>
          <w:szCs w:val="44"/>
        </w:rPr>
      </w:pPr>
    </w:p>
    <w:p>
      <w:pPr>
        <w:pStyle w:val="9"/>
        <w:spacing w:line="360" w:lineRule="auto"/>
        <w:rPr>
          <w:rFonts w:ascii="楷体_GB2312" w:eastAsia="楷体_GB2312"/>
          <w:b/>
          <w:sz w:val="44"/>
          <w:szCs w:val="44"/>
        </w:rPr>
      </w:pPr>
    </w:p>
    <w:p>
      <w:pPr>
        <w:pStyle w:val="6"/>
        <w:spacing w:line="360" w:lineRule="auto"/>
        <w:rPr>
          <w:rFonts w:ascii="楷体_GB2312" w:eastAsia="楷体_GB2312"/>
          <w:b/>
          <w:sz w:val="44"/>
          <w:szCs w:val="44"/>
        </w:rPr>
      </w:pPr>
    </w:p>
    <w:p>
      <w:pPr>
        <w:pStyle w:val="10"/>
        <w:spacing w:line="360" w:lineRule="auto"/>
        <w:rPr>
          <w:rFonts w:ascii="楷体_GB2312" w:eastAsia="楷体_GB2312"/>
          <w:b/>
          <w:sz w:val="44"/>
          <w:szCs w:val="44"/>
        </w:rPr>
      </w:pPr>
    </w:p>
    <w:p>
      <w:pPr>
        <w:pStyle w:val="10"/>
        <w:spacing w:line="360" w:lineRule="auto"/>
        <w:rPr>
          <w:rFonts w:ascii="楷体_GB2312" w:eastAsia="楷体_GB2312"/>
          <w:b/>
          <w:sz w:val="44"/>
          <w:szCs w:val="44"/>
        </w:rPr>
      </w:pPr>
    </w:p>
    <w:p>
      <w:pPr>
        <w:spacing w:line="360" w:lineRule="auto"/>
        <w:jc w:val="center"/>
        <w:rPr>
          <w:rFonts w:ascii="黑体" w:hAnsi="黑体" w:eastAsia="黑体"/>
          <w:sz w:val="96"/>
          <w:szCs w:val="96"/>
        </w:rPr>
      </w:pPr>
      <w:r>
        <w:rPr>
          <w:rFonts w:hint="eastAsia" w:ascii="黑体" w:hAnsi="黑体" w:eastAsia="黑体"/>
          <w:sz w:val="96"/>
          <w:szCs w:val="96"/>
        </w:rPr>
        <w:t>响应文件</w:t>
      </w:r>
    </w:p>
    <w:p>
      <w:pPr>
        <w:pStyle w:val="28"/>
        <w:spacing w:after="120" w:line="360" w:lineRule="auto"/>
        <w:outlineLvl w:val="9"/>
        <w:rPr>
          <w:rStyle w:val="29"/>
          <w:rFonts w:hAnsi="宋体" w:cs="宋体"/>
          <w:b/>
          <w:bCs/>
          <w:sz w:val="44"/>
          <w:szCs w:val="44"/>
        </w:rPr>
      </w:pPr>
    </w:p>
    <w:p>
      <w:pPr>
        <w:pStyle w:val="28"/>
        <w:spacing w:after="120" w:line="360" w:lineRule="auto"/>
        <w:jc w:val="center"/>
        <w:outlineLvl w:val="9"/>
        <w:rPr>
          <w:rStyle w:val="29"/>
          <w:rFonts w:hAnsi="宋体" w:cs="宋体"/>
          <w:b/>
          <w:bCs/>
          <w:sz w:val="44"/>
          <w:szCs w:val="44"/>
        </w:rPr>
      </w:pPr>
      <w:r>
        <w:rPr>
          <w:rStyle w:val="29"/>
          <w:rFonts w:hint="eastAsia" w:hAnsi="宋体" w:cs="宋体"/>
          <w:b/>
          <w:bCs/>
          <w:sz w:val="44"/>
          <w:szCs w:val="44"/>
        </w:rPr>
        <w:t>（第二部分  报价部分）</w:t>
      </w:r>
    </w:p>
    <w:p>
      <w:pPr>
        <w:spacing w:line="360" w:lineRule="auto"/>
        <w:ind w:firstLine="1920" w:firstLineChars="200"/>
        <w:jc w:val="left"/>
        <w:rPr>
          <w:sz w:val="96"/>
          <w:szCs w:val="96"/>
        </w:rPr>
      </w:pPr>
    </w:p>
    <w:p>
      <w:pPr>
        <w:spacing w:line="360" w:lineRule="auto"/>
        <w:ind w:firstLine="1920" w:firstLineChars="200"/>
        <w:jc w:val="left"/>
        <w:rPr>
          <w:sz w:val="96"/>
          <w:szCs w:val="96"/>
        </w:rPr>
      </w:pPr>
    </w:p>
    <w:p>
      <w:pPr>
        <w:pStyle w:val="4"/>
        <w:spacing w:line="360" w:lineRule="auto"/>
      </w:pPr>
    </w:p>
    <w:p>
      <w:pPr>
        <w:spacing w:line="360" w:lineRule="auto"/>
        <w:ind w:firstLine="1920" w:firstLineChars="200"/>
        <w:jc w:val="left"/>
        <w:rPr>
          <w:sz w:val="96"/>
          <w:szCs w:val="96"/>
        </w:rPr>
      </w:pPr>
    </w:p>
    <w:p>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p>
    <w:p>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p>
    <w:p>
      <w:pPr>
        <w:spacing w:line="360" w:lineRule="auto"/>
        <w:ind w:firstLine="148" w:firstLineChars="49"/>
      </w:pPr>
      <w:r>
        <w:rPr>
          <w:rFonts w:hint="eastAsia" w:ascii="宋体" w:hAnsi="宋体" w:cs="宋体"/>
          <w:b/>
          <w:sz w:val="30"/>
        </w:rPr>
        <w:t xml:space="preserve">    地址：</w:t>
      </w:r>
    </w:p>
    <w:p>
      <w:pPr>
        <w:spacing w:line="360" w:lineRule="auto"/>
      </w:pPr>
    </w:p>
    <w:p>
      <w:r>
        <w:br w:type="page"/>
      </w:r>
    </w:p>
    <w:p>
      <w:pPr>
        <w:pStyle w:val="10"/>
        <w:spacing w:line="360" w:lineRule="auto"/>
      </w:pPr>
    </w:p>
    <w:p>
      <w:pPr>
        <w:pStyle w:val="5"/>
        <w:keepNext w:val="0"/>
        <w:keepLines w:val="0"/>
        <w:spacing w:line="360" w:lineRule="auto"/>
        <w:jc w:val="center"/>
        <w:rPr>
          <w:rFonts w:ascii="宋体" w:hAnsi="宋体" w:cs="宋体"/>
          <w:b/>
          <w:bCs/>
          <w:sz w:val="28"/>
          <w:szCs w:val="28"/>
        </w:rPr>
      </w:pPr>
      <w:r>
        <w:rPr>
          <w:rFonts w:hint="eastAsia" w:ascii="宋体" w:hAnsi="宋体" w:cs="宋体"/>
          <w:b/>
          <w:bCs/>
          <w:sz w:val="28"/>
          <w:szCs w:val="28"/>
        </w:rPr>
        <w:t>1、报价一览表</w:t>
      </w:r>
    </w:p>
    <w:p>
      <w:pPr>
        <w:pStyle w:val="4"/>
        <w:spacing w:line="360" w:lineRule="auto"/>
        <w:rPr>
          <w:sz w:val="24"/>
          <w:szCs w:val="24"/>
        </w:rPr>
      </w:pPr>
      <w:r>
        <w:rPr>
          <w:rFonts w:hint="eastAsia"/>
          <w:sz w:val="24"/>
          <w:szCs w:val="24"/>
        </w:rPr>
        <w:t xml:space="preserve">项目编号：    </w:t>
      </w:r>
    </w:p>
    <w:p>
      <w:pPr>
        <w:pStyle w:val="4"/>
        <w:spacing w:line="360" w:lineRule="auto"/>
        <w:jc w:val="both"/>
        <w:rPr>
          <w:rFonts w:cs="宋体"/>
          <w:sz w:val="24"/>
        </w:rPr>
      </w:pPr>
      <w:r>
        <w:rPr>
          <w:rFonts w:hint="eastAsia"/>
          <w:sz w:val="24"/>
          <w:szCs w:val="24"/>
        </w:rPr>
        <w:t xml:space="preserve">项目名称: </w:t>
      </w:r>
    </w:p>
    <w:p>
      <w:pPr>
        <w:pStyle w:val="30"/>
        <w:spacing w:line="360" w:lineRule="auto"/>
        <w:ind w:firstLine="6240" w:firstLineChars="2600"/>
        <w:rPr>
          <w:rFonts w:ascii="宋体" w:hAnsi="宋体"/>
          <w:sz w:val="24"/>
        </w:rPr>
      </w:pPr>
      <w:r>
        <w:rPr>
          <w:rFonts w:hint="eastAsia" w:ascii="宋体" w:hAnsi="宋体"/>
          <w:sz w:val="24"/>
        </w:rPr>
        <w:t>金额单位：人民币元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采购标的</w:t>
            </w:r>
          </w:p>
        </w:tc>
        <w:tc>
          <w:tcPr>
            <w:tcW w:w="1289"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bl>
    <w:p>
      <w:pPr>
        <w:pStyle w:val="30"/>
        <w:spacing w:line="360" w:lineRule="auto"/>
        <w:ind w:firstLine="6240" w:firstLineChars="2600"/>
        <w:rPr>
          <w:rFonts w:ascii="宋体" w:hAnsi="宋体"/>
          <w:sz w:val="24"/>
        </w:rPr>
      </w:pPr>
    </w:p>
    <w:p>
      <w:pPr>
        <w:pStyle w:val="30"/>
        <w:spacing w:line="360" w:lineRule="auto"/>
        <w:ind w:firstLine="6240" w:firstLineChars="2600"/>
        <w:rPr>
          <w:rFonts w:ascii="宋体" w:hAnsi="宋体"/>
          <w:sz w:val="24"/>
        </w:rPr>
      </w:pPr>
    </w:p>
    <w:p>
      <w:pPr>
        <w:pStyle w:val="30"/>
        <w:spacing w:line="360" w:lineRule="auto"/>
        <w:ind w:firstLine="6240" w:firstLineChars="2600"/>
        <w:rPr>
          <w:rFonts w:ascii="宋体" w:hAnsi="宋体"/>
          <w:sz w:val="24"/>
        </w:rPr>
      </w:pPr>
    </w:p>
    <w:p>
      <w:pPr>
        <w:pStyle w:val="16"/>
        <w:spacing w:before="75" w:beforeAutospacing="0" w:after="75" w:afterAutospacing="0" w:line="360" w:lineRule="auto"/>
        <w:rPr>
          <w:sz w:val="28"/>
          <w:szCs w:val="28"/>
        </w:rPr>
      </w:pPr>
    </w:p>
    <w:p>
      <w:pPr>
        <w:spacing w:line="360" w:lineRule="auto"/>
        <w:ind w:firstLine="3240" w:firstLineChars="1350"/>
        <w:rPr>
          <w:rFonts w:ascii="宋体" w:hAnsi="宋体"/>
          <w:sz w:val="24"/>
        </w:rPr>
      </w:pPr>
      <w:r>
        <w:rPr>
          <w:rFonts w:hint="eastAsia" w:ascii="宋体" w:hAnsi="宋体"/>
          <w:sz w:val="24"/>
        </w:rPr>
        <w:t>供应商（全称并加盖公章）：</w:t>
      </w:r>
    </w:p>
    <w:p>
      <w:pPr>
        <w:spacing w:line="360" w:lineRule="auto"/>
        <w:ind w:firstLine="3240" w:firstLineChars="1350"/>
        <w:rPr>
          <w:rFonts w:ascii="宋体" w:hAnsi="宋体"/>
          <w:sz w:val="24"/>
        </w:rPr>
      </w:pPr>
      <w:r>
        <w:rPr>
          <w:rFonts w:hint="eastAsia" w:ascii="宋体" w:hAnsi="宋体"/>
          <w:sz w:val="24"/>
        </w:rPr>
        <w:t>供应商代表签字：</w:t>
      </w:r>
    </w:p>
    <w:p>
      <w:pPr>
        <w:spacing w:line="360" w:lineRule="auto"/>
        <w:ind w:firstLine="3240" w:firstLineChars="1350"/>
      </w:pPr>
      <w:r>
        <w:rPr>
          <w:rFonts w:hint="eastAsia" w:ascii="宋体" w:hAnsi="宋体"/>
          <w:sz w:val="24"/>
        </w:rPr>
        <w:t>日期：</w:t>
      </w:r>
    </w:p>
    <w:p>
      <w:pPr>
        <w:spacing w:line="360" w:lineRule="auto"/>
      </w:pPr>
    </w:p>
    <w:p>
      <w:pPr>
        <w:spacing w:line="360" w:lineRule="auto"/>
      </w:pPr>
    </w:p>
    <w:p>
      <w:pPr>
        <w:spacing w:line="360" w:lineRule="auto"/>
      </w:pPr>
    </w:p>
    <w:p>
      <w:pPr>
        <w:pStyle w:val="5"/>
        <w:spacing w:line="360" w:lineRule="auto"/>
      </w:pPr>
    </w:p>
    <w:p>
      <w:pPr>
        <w:spacing w:line="360" w:lineRule="auto"/>
      </w:pPr>
    </w:p>
    <w:p>
      <w:pPr>
        <w:pStyle w:val="5"/>
        <w:spacing w:line="360" w:lineRule="auto"/>
      </w:pPr>
    </w:p>
    <w:p>
      <w:pPr>
        <w:spacing w:line="360" w:lineRule="auto"/>
      </w:pPr>
    </w:p>
    <w:p>
      <w:pPr>
        <w:numPr>
          <w:ilvl w:val="0"/>
          <w:numId w:val="4"/>
        </w:numPr>
        <w:spacing w:line="360" w:lineRule="auto"/>
        <w:jc w:val="center"/>
      </w:pPr>
      <w:r>
        <w:br w:type="page"/>
      </w:r>
    </w:p>
    <w:p>
      <w:pPr>
        <w:pStyle w:val="5"/>
        <w:keepNext w:val="0"/>
        <w:keepLines w:val="0"/>
        <w:spacing w:line="360" w:lineRule="auto"/>
        <w:jc w:val="center"/>
        <w:rPr>
          <w:rFonts w:ascii="宋体" w:hAnsi="宋体" w:cs="宋体"/>
          <w:b/>
          <w:bCs/>
          <w:sz w:val="28"/>
          <w:szCs w:val="28"/>
        </w:rPr>
      </w:pPr>
      <w:r>
        <w:rPr>
          <w:rFonts w:hint="eastAsia" w:ascii="宋体" w:hAnsi="宋体" w:cs="宋体"/>
          <w:b/>
          <w:bCs/>
          <w:sz w:val="28"/>
          <w:szCs w:val="28"/>
        </w:rPr>
        <w:t>2、货物分项报价表（若有）</w:t>
      </w:r>
    </w:p>
    <w:p>
      <w:pPr>
        <w:pStyle w:val="4"/>
        <w:spacing w:line="360" w:lineRule="auto"/>
        <w:rPr>
          <w:sz w:val="24"/>
          <w:szCs w:val="24"/>
        </w:rPr>
      </w:pPr>
      <w:r>
        <w:rPr>
          <w:rFonts w:hint="eastAsia"/>
          <w:sz w:val="24"/>
          <w:szCs w:val="24"/>
        </w:rPr>
        <w:t xml:space="preserve">项目编号：    </w:t>
      </w:r>
    </w:p>
    <w:p>
      <w:pPr>
        <w:pStyle w:val="4"/>
        <w:spacing w:line="360" w:lineRule="auto"/>
        <w:jc w:val="both"/>
        <w:rPr>
          <w:rFonts w:cs="宋体"/>
          <w:sz w:val="24"/>
        </w:rPr>
      </w:pPr>
      <w:r>
        <w:rPr>
          <w:rFonts w:hint="eastAsia"/>
          <w:sz w:val="24"/>
          <w:szCs w:val="24"/>
        </w:rPr>
        <w:t xml:space="preserve">项目名称: </w:t>
      </w:r>
    </w:p>
    <w:p>
      <w:pPr>
        <w:pStyle w:val="30"/>
        <w:spacing w:line="360" w:lineRule="auto"/>
        <w:ind w:firstLine="6240" w:firstLineChars="2600"/>
        <w:rPr>
          <w:rFonts w:ascii="宋体" w:hAnsi="宋体"/>
          <w:sz w:val="24"/>
        </w:rPr>
      </w:pPr>
      <w:r>
        <w:rPr>
          <w:rFonts w:hint="eastAsia" w:ascii="宋体" w:hAnsi="宋体"/>
          <w:sz w:val="24"/>
        </w:rPr>
        <w:t>金额单位：人民币元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货物</w:t>
            </w:r>
          </w:p>
        </w:tc>
        <w:tc>
          <w:tcPr>
            <w:tcW w:w="1289"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360" w:lineRule="auto"/>
              <w:jc w:val="left"/>
              <w:rPr>
                <w:rFonts w:ascii="宋体" w:hAnsi="宋体"/>
                <w:sz w:val="24"/>
              </w:rPr>
            </w:pPr>
            <w:r>
              <w:rPr>
                <w:rFonts w:hint="eastAsia" w:ascii="宋体" w:hAnsi="宋体"/>
                <w:sz w:val="24"/>
              </w:rPr>
              <w:t>合同包总价：</w:t>
            </w:r>
          </w:p>
        </w:tc>
      </w:tr>
    </w:tbl>
    <w:p>
      <w:pPr>
        <w:pStyle w:val="30"/>
        <w:spacing w:line="360" w:lineRule="auto"/>
        <w:ind w:firstLine="6240" w:firstLineChars="2600"/>
        <w:rPr>
          <w:rFonts w:ascii="宋体" w:hAnsi="宋体"/>
          <w:sz w:val="24"/>
        </w:rPr>
      </w:pPr>
    </w:p>
    <w:p>
      <w:pPr>
        <w:pStyle w:val="30"/>
        <w:spacing w:line="360" w:lineRule="auto"/>
        <w:ind w:firstLine="6240" w:firstLineChars="2600"/>
        <w:rPr>
          <w:rFonts w:ascii="宋体" w:hAnsi="宋体"/>
          <w:sz w:val="24"/>
        </w:rPr>
      </w:pPr>
    </w:p>
    <w:p>
      <w:pPr>
        <w:pStyle w:val="16"/>
        <w:spacing w:before="75" w:beforeAutospacing="0" w:after="75" w:afterAutospacing="0" w:line="360" w:lineRule="auto"/>
        <w:rPr>
          <w:sz w:val="28"/>
          <w:szCs w:val="28"/>
        </w:rPr>
      </w:pPr>
    </w:p>
    <w:p>
      <w:pPr>
        <w:spacing w:line="360" w:lineRule="auto"/>
        <w:rPr>
          <w:rFonts w:ascii="宋体" w:hAnsi="宋体"/>
          <w:sz w:val="24"/>
        </w:rPr>
      </w:pPr>
      <w:r>
        <w:rPr>
          <w:rFonts w:hint="eastAsia" w:ascii="宋体" w:hAnsi="宋体"/>
          <w:sz w:val="24"/>
        </w:rPr>
        <w:t>供应商（全称并加盖公章）：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pPr>
        <w:spacing w:line="360" w:lineRule="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14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6B3DA6D"/>
    <w:multiLevelType w:val="singleLevel"/>
    <w:tmpl w:val="46B3DA6D"/>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NDFhZTUwZWU4ZTNlYmJmNGZkOTEwNGQ5YzQ3YjgifQ=="/>
  </w:docVars>
  <w:rsids>
    <w:rsidRoot w:val="00387D6A"/>
    <w:rsid w:val="00086179"/>
    <w:rsid w:val="00200138"/>
    <w:rsid w:val="00203771"/>
    <w:rsid w:val="00257E24"/>
    <w:rsid w:val="002D6198"/>
    <w:rsid w:val="0035135C"/>
    <w:rsid w:val="00387D6A"/>
    <w:rsid w:val="003B0086"/>
    <w:rsid w:val="00495441"/>
    <w:rsid w:val="004C2B2E"/>
    <w:rsid w:val="004F6E48"/>
    <w:rsid w:val="005341FA"/>
    <w:rsid w:val="005E6D4C"/>
    <w:rsid w:val="006071E5"/>
    <w:rsid w:val="006211A8"/>
    <w:rsid w:val="00713D7A"/>
    <w:rsid w:val="0073374A"/>
    <w:rsid w:val="0074419B"/>
    <w:rsid w:val="00777B3B"/>
    <w:rsid w:val="00856F52"/>
    <w:rsid w:val="00911C43"/>
    <w:rsid w:val="00945DAD"/>
    <w:rsid w:val="00993C50"/>
    <w:rsid w:val="0099408B"/>
    <w:rsid w:val="00AE0E6C"/>
    <w:rsid w:val="00B871C5"/>
    <w:rsid w:val="00C55DDE"/>
    <w:rsid w:val="00CD348C"/>
    <w:rsid w:val="00CE33F3"/>
    <w:rsid w:val="00D04E37"/>
    <w:rsid w:val="00DE264B"/>
    <w:rsid w:val="00E677B8"/>
    <w:rsid w:val="00E72532"/>
    <w:rsid w:val="00E72986"/>
    <w:rsid w:val="00E816D3"/>
    <w:rsid w:val="00ED63B5"/>
    <w:rsid w:val="00F25DD3"/>
    <w:rsid w:val="00F92C24"/>
    <w:rsid w:val="02D80DA0"/>
    <w:rsid w:val="04C40DE2"/>
    <w:rsid w:val="071B4393"/>
    <w:rsid w:val="07A3620E"/>
    <w:rsid w:val="0B783442"/>
    <w:rsid w:val="0E9E2D40"/>
    <w:rsid w:val="0F1D0A28"/>
    <w:rsid w:val="11670892"/>
    <w:rsid w:val="1E897F61"/>
    <w:rsid w:val="27C42B43"/>
    <w:rsid w:val="28EB517F"/>
    <w:rsid w:val="2A2D3EB3"/>
    <w:rsid w:val="2C57169F"/>
    <w:rsid w:val="2EFC6C91"/>
    <w:rsid w:val="31000CB2"/>
    <w:rsid w:val="31CE533B"/>
    <w:rsid w:val="320F1026"/>
    <w:rsid w:val="33747367"/>
    <w:rsid w:val="35ED2D88"/>
    <w:rsid w:val="3C3825DD"/>
    <w:rsid w:val="3E135735"/>
    <w:rsid w:val="3E795988"/>
    <w:rsid w:val="44A73530"/>
    <w:rsid w:val="47C80021"/>
    <w:rsid w:val="4AE30836"/>
    <w:rsid w:val="4C7B3E93"/>
    <w:rsid w:val="4CE2174D"/>
    <w:rsid w:val="56A046B9"/>
    <w:rsid w:val="5711237A"/>
    <w:rsid w:val="592F4BEA"/>
    <w:rsid w:val="5AB0525A"/>
    <w:rsid w:val="5DBF39CE"/>
    <w:rsid w:val="706D66E5"/>
    <w:rsid w:val="76A82938"/>
    <w:rsid w:val="7840300C"/>
    <w:rsid w:val="7F8D3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4">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autoRedefine/>
    <w:unhideWhenUsed/>
    <w:qFormat/>
    <w:uiPriority w:val="9"/>
    <w:pPr>
      <w:keepNext/>
      <w:keepLines/>
      <w:spacing w:before="260" w:after="260" w:line="416" w:lineRule="auto"/>
      <w:outlineLvl w:val="2"/>
    </w:pPr>
    <w:rPr>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Body Text Indent"/>
    <w:basedOn w:val="1"/>
    <w:next w:val="10"/>
    <w:autoRedefine/>
    <w:qFormat/>
    <w:uiPriority w:val="0"/>
    <w:pPr>
      <w:spacing w:after="120"/>
      <w:ind w:left="420" w:leftChars="200"/>
    </w:pPr>
  </w:style>
  <w:style w:type="paragraph" w:styleId="10">
    <w:name w:val="envelope return"/>
    <w:basedOn w:val="1"/>
    <w:autoRedefine/>
    <w:qFormat/>
    <w:uiPriority w:val="0"/>
    <w:pPr>
      <w:snapToGrid w:val="0"/>
    </w:pPr>
    <w:rPr>
      <w:rFonts w:ascii="Arial" w:hAnsi="Arial"/>
    </w:rPr>
  </w:style>
  <w:style w:type="paragraph" w:styleId="11">
    <w:name w:val="Plain Text"/>
    <w:basedOn w:val="1"/>
    <w:autoRedefine/>
    <w:qFormat/>
    <w:uiPriority w:val="0"/>
    <w:rPr>
      <w:rFonts w:ascii="宋体" w:hAnsi="Courier New"/>
      <w:kern w:val="0"/>
      <w:sz w:val="20"/>
    </w:rPr>
  </w:style>
  <w:style w:type="paragraph" w:styleId="12">
    <w:name w:val="Body Text Indent 2"/>
    <w:basedOn w:val="1"/>
    <w:autoRedefine/>
    <w:qFormat/>
    <w:uiPriority w:val="0"/>
    <w:pPr>
      <w:spacing w:line="480" w:lineRule="auto"/>
      <w:ind w:left="420" w:leftChars="200"/>
    </w:pPr>
  </w:style>
  <w:style w:type="paragraph" w:styleId="13">
    <w:name w:val="Balloon Text"/>
    <w:basedOn w:val="1"/>
    <w:link w:val="34"/>
    <w:autoRedefine/>
    <w:qFormat/>
    <w:uiPriority w:val="0"/>
    <w:rPr>
      <w:sz w:val="18"/>
      <w:szCs w:val="18"/>
    </w:rPr>
  </w:style>
  <w:style w:type="paragraph" w:styleId="14">
    <w:name w:val="footer"/>
    <w:basedOn w:val="1"/>
    <w:next w:val="1"/>
    <w:autoRedefine/>
    <w:qFormat/>
    <w:uiPriority w:val="99"/>
    <w:pPr>
      <w:tabs>
        <w:tab w:val="center" w:pos="4153"/>
        <w:tab w:val="right" w:pos="8306"/>
      </w:tabs>
      <w:snapToGrid w:val="0"/>
      <w:jc w:val="left"/>
    </w:pPr>
    <w:rPr>
      <w:sz w:val="18"/>
      <w:szCs w:val="18"/>
    </w:rPr>
  </w:style>
  <w:style w:type="paragraph" w:styleId="15">
    <w:name w:val="header"/>
    <w:basedOn w:val="1"/>
    <w:link w:val="33"/>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next w:val="17"/>
    <w:autoRedefine/>
    <w:qFormat/>
    <w:uiPriority w:val="0"/>
    <w:pPr>
      <w:widowControl/>
      <w:spacing w:before="100" w:beforeAutospacing="1" w:after="100" w:afterAutospacing="1"/>
      <w:jc w:val="left"/>
    </w:pPr>
    <w:rPr>
      <w:rFonts w:ascii="宋体" w:hAnsi="宋体" w:cs="宋体"/>
      <w:kern w:val="0"/>
      <w:sz w:val="24"/>
    </w:rPr>
  </w:style>
  <w:style w:type="paragraph" w:customStyle="1" w:styleId="17">
    <w:name w:val="样式 标题 3 + (中文) 黑体 小四 非加粗 段前: 7.8 磅 段后: 0 磅 行距: 固定值 20 磅"/>
    <w:basedOn w:val="5"/>
    <w:autoRedefine/>
    <w:qFormat/>
    <w:uiPriority w:val="0"/>
    <w:pPr>
      <w:tabs>
        <w:tab w:val="left" w:pos="425"/>
      </w:tabs>
      <w:spacing w:before="0" w:after="0" w:line="400" w:lineRule="exact"/>
    </w:pPr>
    <w:rPr>
      <w:rFonts w:ascii="Times New Roman" w:hAnsi="Times New Roman" w:eastAsia="黑体" w:cs="宋体"/>
      <w:sz w:val="24"/>
      <w:szCs w:val="20"/>
    </w:rPr>
  </w:style>
  <w:style w:type="paragraph" w:styleId="18">
    <w:name w:val="Title"/>
    <w:basedOn w:val="1"/>
    <w:next w:val="1"/>
    <w:autoRedefine/>
    <w:qFormat/>
    <w:uiPriority w:val="0"/>
    <w:pPr>
      <w:jc w:val="center"/>
      <w:outlineLvl w:val="0"/>
    </w:pPr>
    <w:rPr>
      <w:rFonts w:ascii="Cambria" w:hAnsi="Cambria"/>
      <w:b/>
      <w:bCs/>
      <w:kern w:val="0"/>
      <w:sz w:val="32"/>
      <w:szCs w:val="32"/>
    </w:rPr>
  </w:style>
  <w:style w:type="paragraph" w:styleId="19">
    <w:name w:val="Body Text First Indent"/>
    <w:basedOn w:val="8"/>
    <w:next w:val="20"/>
    <w:autoRedefine/>
    <w:qFormat/>
    <w:uiPriority w:val="0"/>
    <w:pPr>
      <w:ind w:firstLine="420" w:firstLineChars="100"/>
    </w:pPr>
    <w:rPr>
      <w:rFonts w:ascii="Times New Roman" w:hAnsi="Times New Roman"/>
      <w:szCs w:val="20"/>
    </w:rPr>
  </w:style>
  <w:style w:type="paragraph" w:styleId="20">
    <w:name w:val="Body Text First Indent 2"/>
    <w:basedOn w:val="9"/>
    <w:next w:val="1"/>
    <w:autoRedefine/>
    <w:qFormat/>
    <w:uiPriority w:val="99"/>
    <w:pPr>
      <w:tabs>
        <w:tab w:val="left" w:pos="4606"/>
      </w:tabs>
      <w:ind w:firstLine="420"/>
    </w:pPr>
  </w:style>
  <w:style w:type="table" w:styleId="22">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autoRedefine/>
    <w:qFormat/>
    <w:uiPriority w:val="0"/>
    <w:rPr>
      <w:b/>
      <w:bCs/>
    </w:rPr>
  </w:style>
  <w:style w:type="character" w:styleId="25">
    <w:name w:val="Hyperlink"/>
    <w:basedOn w:val="23"/>
    <w:autoRedefine/>
    <w:qFormat/>
    <w:uiPriority w:val="0"/>
    <w:rPr>
      <w:color w:val="0000FF"/>
      <w:u w:val="single"/>
    </w:rPr>
  </w:style>
  <w:style w:type="character" w:styleId="26">
    <w:name w:val="annotation reference"/>
    <w:basedOn w:val="23"/>
    <w:autoRedefine/>
    <w:qFormat/>
    <w:uiPriority w:val="0"/>
    <w:rPr>
      <w:sz w:val="21"/>
      <w:szCs w:val="21"/>
    </w:rPr>
  </w:style>
  <w:style w:type="paragraph" w:customStyle="1" w:styleId="27">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8">
    <w:name w:val="样式3"/>
    <w:basedOn w:val="11"/>
    <w:autoRedefine/>
    <w:qFormat/>
    <w:uiPriority w:val="0"/>
    <w:pPr>
      <w:spacing w:line="0" w:lineRule="atLeast"/>
      <w:outlineLvl w:val="0"/>
    </w:pPr>
    <w:rPr>
      <w:sz w:val="28"/>
    </w:rPr>
  </w:style>
  <w:style w:type="character" w:customStyle="1" w:styleId="29">
    <w:name w:val="NormalCharacter"/>
    <w:autoRedefine/>
    <w:semiHidden/>
    <w:qFormat/>
    <w:uiPriority w:val="0"/>
    <w:rPr>
      <w:kern w:val="2"/>
      <w:sz w:val="21"/>
      <w:szCs w:val="24"/>
      <w:lang w:val="en-US" w:eastAsia="zh-CN" w:bidi="ar-SA"/>
    </w:rPr>
  </w:style>
  <w:style w:type="paragraph" w:customStyle="1" w:styleId="30">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apple-converted-space"/>
    <w:autoRedefine/>
    <w:qFormat/>
    <w:uiPriority w:val="0"/>
    <w:rPr>
      <w:rFonts w:ascii="Times New Roman" w:hAnsi="Times New Roman" w:eastAsia="宋体" w:cs="Times New Roman"/>
    </w:rPr>
  </w:style>
  <w:style w:type="paragraph" w:customStyle="1" w:styleId="32">
    <w:name w:val="null3"/>
    <w:autoRedefine/>
    <w:qFormat/>
    <w:uiPriority w:val="0"/>
    <w:rPr>
      <w:rFonts w:hint="eastAsia" w:ascii="Calibri" w:hAnsi="Calibri" w:eastAsia="宋体" w:cs="Times New Roman"/>
      <w:lang w:val="en-US" w:eastAsia="zh-CN" w:bidi="ar-SA"/>
    </w:rPr>
  </w:style>
  <w:style w:type="character" w:customStyle="1" w:styleId="33">
    <w:name w:val="页眉 Char"/>
    <w:basedOn w:val="23"/>
    <w:link w:val="15"/>
    <w:autoRedefine/>
    <w:qFormat/>
    <w:uiPriority w:val="0"/>
    <w:rPr>
      <w:rFonts w:ascii="Calibri" w:hAnsi="Calibri"/>
      <w:kern w:val="2"/>
      <w:sz w:val="18"/>
      <w:szCs w:val="18"/>
    </w:rPr>
  </w:style>
  <w:style w:type="character" w:customStyle="1" w:styleId="34">
    <w:name w:val="批注框文本 Char"/>
    <w:basedOn w:val="23"/>
    <w:link w:val="13"/>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34D848-2B64-4590-A65A-4ED7255FFDE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2618</Words>
  <Characters>14924</Characters>
  <Lines>124</Lines>
  <Paragraphs>35</Paragraphs>
  <TotalTime>277</TotalTime>
  <ScaleCrop>false</ScaleCrop>
  <LinksUpToDate>false</LinksUpToDate>
  <CharactersWithSpaces>17507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Syu-lin Huwang</cp:lastModifiedBy>
  <dcterms:modified xsi:type="dcterms:W3CDTF">2024-02-01T00:44:55Z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AB1F46E2FDCB459A87CA1C9587D7FDC3_13</vt:lpwstr>
  </property>
</Properties>
</file>